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260C7" w14:textId="5E2C1618" w:rsidR="00244466" w:rsidRPr="004D4E88" w:rsidRDefault="00244466" w:rsidP="00244466">
      <w:pPr>
        <w:tabs>
          <w:tab w:val="right" w:pos="9639"/>
          <w:tab w:val="right" w:pos="13323"/>
        </w:tabs>
        <w:spacing w:after="0"/>
        <w:rPr>
          <w:rFonts w:eastAsia="MS Mincho"/>
          <w:b/>
          <w:noProof/>
          <w:sz w:val="24"/>
        </w:rPr>
      </w:pPr>
      <w:r w:rsidRPr="004D4E88">
        <w:rPr>
          <w:rFonts w:eastAsia="MS Mincho"/>
          <w:b/>
          <w:noProof/>
          <w:sz w:val="24"/>
        </w:rPr>
        <w:t>3GPP TSG RAN WG2#1</w:t>
      </w:r>
      <w:r>
        <w:rPr>
          <w:rFonts w:eastAsia="MS Mincho"/>
          <w:b/>
          <w:noProof/>
          <w:sz w:val="24"/>
        </w:rPr>
        <w:t>3</w:t>
      </w:r>
      <w:r w:rsidR="00F06491">
        <w:rPr>
          <w:rFonts w:eastAsia="MS Mincho"/>
          <w:b/>
          <w:noProof/>
          <w:sz w:val="24"/>
        </w:rPr>
        <w:t>1</w:t>
      </w:r>
      <w:r w:rsidRPr="004D4E88">
        <w:rPr>
          <w:rFonts w:eastAsia="MS Mincho"/>
          <w:b/>
          <w:noProof/>
          <w:sz w:val="24"/>
        </w:rPr>
        <w:tab/>
      </w:r>
      <w:r w:rsidR="00883150" w:rsidRPr="00883150">
        <w:rPr>
          <w:rFonts w:eastAsia="MS Mincho"/>
          <w:b/>
          <w:noProof/>
          <w:sz w:val="24"/>
        </w:rPr>
        <w:t>R2-250555</w:t>
      </w:r>
      <w:r w:rsidR="00883150">
        <w:rPr>
          <w:rFonts w:eastAsia="MS Mincho"/>
          <w:b/>
          <w:noProof/>
          <w:sz w:val="24"/>
        </w:rPr>
        <w:t>3</w:t>
      </w:r>
    </w:p>
    <w:p w14:paraId="61F7C167" w14:textId="6D168094" w:rsidR="00244466" w:rsidRPr="00E57A55" w:rsidRDefault="00F06491" w:rsidP="00244466">
      <w:pPr>
        <w:pStyle w:val="afc"/>
      </w:pPr>
      <w:r w:rsidRPr="00F06491">
        <w:rPr>
          <w:rFonts w:eastAsia="MS Mincho"/>
          <w:bCs w:val="0"/>
          <w:sz w:val="24"/>
          <w:szCs w:val="20"/>
          <w:lang w:val="en-GB"/>
        </w:rPr>
        <w:t>Bengaluru, IN</w:t>
      </w:r>
      <w:r w:rsidR="00244466" w:rsidRPr="009C2884">
        <w:rPr>
          <w:rFonts w:eastAsia="MS Mincho"/>
          <w:bCs w:val="0"/>
          <w:sz w:val="24"/>
          <w:szCs w:val="20"/>
          <w:lang w:val="en-GB"/>
        </w:rPr>
        <w:t xml:space="preserve">, </w:t>
      </w:r>
      <w:r>
        <w:rPr>
          <w:rFonts w:eastAsia="MS Mincho"/>
          <w:bCs w:val="0"/>
          <w:sz w:val="24"/>
          <w:szCs w:val="20"/>
          <w:lang w:val="en-GB"/>
        </w:rPr>
        <w:t>August</w:t>
      </w:r>
      <w:r w:rsidR="00244466" w:rsidRPr="009C2884">
        <w:rPr>
          <w:rFonts w:eastAsia="MS Mincho"/>
          <w:bCs w:val="0"/>
          <w:sz w:val="24"/>
          <w:szCs w:val="20"/>
          <w:lang w:val="en-GB"/>
        </w:rPr>
        <w:t xml:space="preserve"> </w:t>
      </w:r>
      <w:r>
        <w:rPr>
          <w:rFonts w:eastAsia="MS Mincho"/>
          <w:bCs w:val="0"/>
          <w:sz w:val="24"/>
          <w:szCs w:val="20"/>
          <w:lang w:val="en-GB"/>
        </w:rPr>
        <w:t>25</w:t>
      </w:r>
      <w:r w:rsidRPr="00F06491">
        <w:rPr>
          <w:rFonts w:eastAsia="MS Mincho"/>
          <w:bCs w:val="0"/>
          <w:sz w:val="24"/>
          <w:szCs w:val="20"/>
          <w:vertAlign w:val="superscript"/>
          <w:lang w:val="en-GB"/>
        </w:rPr>
        <w:t>th</w:t>
      </w:r>
      <w:r w:rsidR="00244466" w:rsidRPr="009C2884">
        <w:rPr>
          <w:rFonts w:eastAsia="MS Mincho"/>
          <w:bCs w:val="0"/>
          <w:sz w:val="24"/>
          <w:szCs w:val="20"/>
          <w:lang w:val="en-GB"/>
        </w:rPr>
        <w:t xml:space="preserve"> – </w:t>
      </w:r>
      <w:r>
        <w:rPr>
          <w:rFonts w:eastAsia="MS Mincho"/>
          <w:bCs w:val="0"/>
          <w:sz w:val="24"/>
          <w:szCs w:val="20"/>
          <w:lang w:val="en-GB"/>
        </w:rPr>
        <w:t>29</w:t>
      </w:r>
      <w:r w:rsidRPr="00F06491">
        <w:rPr>
          <w:rFonts w:eastAsia="MS Mincho"/>
          <w:bCs w:val="0"/>
          <w:sz w:val="24"/>
          <w:szCs w:val="20"/>
          <w:vertAlign w:val="superscript"/>
          <w:lang w:val="en-GB"/>
        </w:rPr>
        <w:t>th</w:t>
      </w:r>
      <w:r w:rsidR="00244466" w:rsidRPr="009C2884">
        <w:rPr>
          <w:rFonts w:eastAsia="MS Mincho"/>
          <w:bCs w:val="0"/>
          <w:sz w:val="24"/>
          <w:szCs w:val="20"/>
          <w:lang w:val="en-GB"/>
        </w:rPr>
        <w:t>, 2025</w:t>
      </w:r>
    </w:p>
    <w:p w14:paraId="14AC234D" w14:textId="77777777" w:rsidR="00FB3C9D" w:rsidRPr="00244466" w:rsidRDefault="00FB3C9D">
      <w:pPr>
        <w:tabs>
          <w:tab w:val="left" w:pos="1701"/>
          <w:tab w:val="right" w:pos="9639"/>
        </w:tabs>
        <w:spacing w:before="100" w:beforeAutospacing="1" w:after="100" w:afterAutospacing="1"/>
        <w:rPr>
          <w:rFonts w:cs="Arial"/>
          <w:b/>
          <w:color w:val="000000"/>
          <w:sz w:val="24"/>
          <w:lang w:val="en-US"/>
        </w:rPr>
      </w:pPr>
    </w:p>
    <w:p w14:paraId="2AD2FC05" w14:textId="10C9F1DC" w:rsidR="00FB3C9D" w:rsidRDefault="003D1DDD">
      <w:pPr>
        <w:pStyle w:val="3GPPHeader"/>
        <w:rPr>
          <w:sz w:val="22"/>
        </w:rPr>
      </w:pPr>
      <w:r>
        <w:rPr>
          <w:sz w:val="22"/>
        </w:rPr>
        <w:t>Agenda Item:</w:t>
      </w:r>
      <w:r>
        <w:rPr>
          <w:sz w:val="22"/>
        </w:rPr>
        <w:tab/>
      </w:r>
      <w:r w:rsidR="0011653C">
        <w:rPr>
          <w:rFonts w:hint="eastAsia"/>
          <w:sz w:val="22"/>
        </w:rPr>
        <w:t>8.</w:t>
      </w:r>
      <w:r w:rsidR="003E0FF2">
        <w:rPr>
          <w:sz w:val="22"/>
        </w:rPr>
        <w:t>17</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100D682" w:rsidR="00FB3C9D" w:rsidRDefault="003D1DDD">
      <w:pPr>
        <w:pStyle w:val="3GPPHeader"/>
        <w:rPr>
          <w:sz w:val="22"/>
        </w:rPr>
      </w:pPr>
      <w:r>
        <w:rPr>
          <w:sz w:val="22"/>
        </w:rPr>
        <w:t>Title:</w:t>
      </w:r>
      <w:r>
        <w:rPr>
          <w:sz w:val="22"/>
        </w:rPr>
        <w:tab/>
        <w:t xml:space="preserve">Discussion on </w:t>
      </w:r>
      <w:r w:rsidR="00CD456B">
        <w:rPr>
          <w:sz w:val="22"/>
        </w:rPr>
        <w:t>I</w:t>
      </w:r>
      <w:r w:rsidR="00CD456B">
        <w:rPr>
          <w:rFonts w:hint="eastAsia"/>
          <w:sz w:val="22"/>
        </w:rPr>
        <w:t>o</w:t>
      </w:r>
      <w:r w:rsidR="00CD456B">
        <w:rPr>
          <w:sz w:val="22"/>
        </w:rPr>
        <w:t xml:space="preserve">T NTN </w:t>
      </w:r>
      <w:r w:rsidR="003E0FF2">
        <w:rPr>
          <w:sz w:val="22"/>
        </w:rPr>
        <w:t>TDD</w:t>
      </w:r>
      <w:r w:rsidR="003E0FF2">
        <w:rPr>
          <w:rFonts w:hint="eastAsia"/>
          <w:sz w:val="22"/>
        </w:rPr>
        <w:t xml:space="preserve"> </w:t>
      </w:r>
      <w:r w:rsidR="003E0FF2">
        <w:rPr>
          <w:sz w:val="22"/>
        </w:rPr>
        <w:t>mode</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6055B6DC" w:rsidR="00FB3C9D" w:rsidRDefault="003D1DDD">
      <w:pPr>
        <w:pStyle w:val="1"/>
      </w:pPr>
      <w:bookmarkStart w:id="0" w:name="_Ref488331639"/>
      <w:bookmarkStart w:id="1" w:name="_Toc131757144"/>
      <w:r>
        <w:t>Introduction</w:t>
      </w:r>
      <w:bookmarkStart w:id="2" w:name="_Ref178064866"/>
      <w:bookmarkEnd w:id="0"/>
      <w:bookmarkEnd w:id="1"/>
    </w:p>
    <w:p w14:paraId="184D2DA1" w14:textId="2E670936" w:rsidR="00B93822" w:rsidRDefault="00AB4A6B" w:rsidP="00F06491">
      <w:pPr>
        <w:pStyle w:val="afa"/>
        <w:rPr>
          <w:rFonts w:eastAsiaTheme="minorEastAsia"/>
        </w:rPr>
      </w:pPr>
      <w:r w:rsidRPr="00AB4A6B">
        <w:rPr>
          <w:lang w:eastAsia="ko-KR"/>
        </w:rPr>
        <w:t>In RAN#105</w:t>
      </w:r>
      <w:r w:rsidR="00B93822">
        <w:rPr>
          <w:lang w:eastAsia="ko-KR"/>
        </w:rPr>
        <w:t xml:space="preserve"> mee</w:t>
      </w:r>
      <w:r w:rsidR="00084466">
        <w:rPr>
          <w:lang w:eastAsia="ko-KR"/>
        </w:rPr>
        <w:t>t</w:t>
      </w:r>
      <w:r w:rsidR="00B93822">
        <w:rPr>
          <w:lang w:eastAsia="ko-KR"/>
        </w:rPr>
        <w:t>ing</w:t>
      </w:r>
      <w:r w:rsidRPr="00AB4A6B">
        <w:rPr>
          <w:lang w:eastAsia="ko-KR"/>
        </w:rPr>
        <w:t>, a new WI</w:t>
      </w:r>
      <w:r w:rsidR="00932DF6">
        <w:rPr>
          <w:lang w:eastAsia="ko-KR"/>
        </w:rPr>
        <w:t>D on</w:t>
      </w:r>
      <w:r w:rsidRPr="00AB4A6B">
        <w:rPr>
          <w:lang w:eastAsia="ko-KR"/>
        </w:rPr>
        <w:t xml:space="preserve"> IoT NTN TDD mode was approved</w:t>
      </w:r>
      <w:r w:rsidR="00932DF6">
        <w:rPr>
          <w:lang w:eastAsia="ko-KR"/>
        </w:rPr>
        <w:t>,</w:t>
      </w:r>
      <w:r w:rsidR="00932DF6" w:rsidRPr="00932DF6">
        <w:t xml:space="preserve"> </w:t>
      </w:r>
      <w:r w:rsidR="005055CC">
        <w:rPr>
          <w:rFonts w:hint="eastAsia"/>
        </w:rPr>
        <w:t>which</w:t>
      </w:r>
      <w:r w:rsidR="005055CC">
        <w:t xml:space="preserve"> </w:t>
      </w:r>
      <w:r w:rsidR="00535503">
        <w:t>was</w:t>
      </w:r>
      <w:r w:rsidR="00932DF6">
        <w:t xml:space="preserve"> further revised </w:t>
      </w:r>
      <w:r w:rsidR="00B93822">
        <w:t xml:space="preserve">to [1] </w:t>
      </w:r>
      <w:r w:rsidR="00932DF6">
        <w:t>in RAN#106</w:t>
      </w:r>
      <w:r w:rsidR="00B93822">
        <w:t xml:space="preserve"> meeting. </w:t>
      </w:r>
      <w:r w:rsidR="0087511C">
        <w:rPr>
          <w:lang w:eastAsia="ko-KR"/>
        </w:rPr>
        <w:t>T</w:t>
      </w:r>
      <w:r w:rsidRPr="00AB4A6B">
        <w:rPr>
          <w:lang w:eastAsia="ko-KR"/>
        </w:rPr>
        <w:t>h</w:t>
      </w:r>
      <w:r w:rsidR="00B93822">
        <w:rPr>
          <w:rFonts w:hint="eastAsia"/>
        </w:rPr>
        <w:t>is</w:t>
      </w:r>
      <w:r w:rsidR="00B93822">
        <w:rPr>
          <w:lang w:eastAsia="ko-KR"/>
        </w:rPr>
        <w:t xml:space="preserve"> work item aims</w:t>
      </w:r>
      <w:r w:rsidRPr="00AB4A6B">
        <w:rPr>
          <w:lang w:eastAsia="ko-KR"/>
        </w:rPr>
        <w:t xml:space="preserve"> to enable Iridium’s TDD band to provide NB-IoT service</w:t>
      </w:r>
      <w:r w:rsidR="00B93822">
        <w:rPr>
          <w:lang w:eastAsia="ko-KR"/>
        </w:rPr>
        <w:t xml:space="preserve"> </w:t>
      </w:r>
      <w:r w:rsidR="00B93822">
        <w:t xml:space="preserve">leveraging commonalities with half-duplex NB-IoT FDD NTN, by defining </w:t>
      </w:r>
      <w:r w:rsidR="00B93822">
        <w:rPr>
          <w:rStyle w:val="ui-provider"/>
        </w:rPr>
        <w:t>a new NB-IoT TDD mode for NTN based on minimum necessary changes to the NB-IoT NTN FDD frame structure and procedures</w:t>
      </w:r>
      <w:r w:rsidRPr="00AB4A6B">
        <w:rPr>
          <w:lang w:eastAsia="ko-KR"/>
        </w:rPr>
        <w:t xml:space="preserve">. </w:t>
      </w:r>
    </w:p>
    <w:p w14:paraId="0C8EEAB4" w14:textId="4BAC8729" w:rsidR="00244466" w:rsidRDefault="00244466" w:rsidP="00F06491">
      <w:pPr>
        <w:pStyle w:val="afa"/>
      </w:pPr>
      <w:r>
        <w:rPr>
          <w:rFonts w:eastAsiaTheme="minorEastAsia"/>
        </w:rPr>
        <w:t>I</w:t>
      </w:r>
      <w:r>
        <w:rPr>
          <w:rFonts w:eastAsiaTheme="minorEastAsia" w:hint="eastAsia"/>
        </w:rPr>
        <w:t>n</w:t>
      </w:r>
      <w:r>
        <w:rPr>
          <w:rFonts w:eastAsiaTheme="minorEastAsia"/>
        </w:rPr>
        <w:t xml:space="preserve"> the last RAN2 meetings, </w:t>
      </w:r>
      <w:r w:rsidRPr="006B2F9F">
        <w:t>TDD support for NB IoT NTN</w:t>
      </w:r>
      <w:r>
        <w:t xml:space="preserve"> was discussed, and the following agreements were reached.</w:t>
      </w:r>
    </w:p>
    <w:p w14:paraId="61CEC066" w14:textId="50BC82D5" w:rsidR="00244466" w:rsidRPr="00DD48E0" w:rsidRDefault="00244466" w:rsidP="00244466">
      <w:pPr>
        <w:pStyle w:val="Doc-text2"/>
        <w:pBdr>
          <w:top w:val="single" w:sz="4" w:space="1" w:color="auto"/>
          <w:left w:val="single" w:sz="4" w:space="4" w:color="auto"/>
          <w:bottom w:val="single" w:sz="4" w:space="1" w:color="auto"/>
          <w:right w:val="single" w:sz="4" w:space="4" w:color="auto"/>
        </w:pBdr>
        <w:rPr>
          <w:b/>
          <w:bCs/>
          <w:sz w:val="20"/>
          <w:szCs w:val="20"/>
        </w:rPr>
      </w:pPr>
      <w:r w:rsidRPr="00DD48E0">
        <w:rPr>
          <w:b/>
          <w:bCs/>
          <w:sz w:val="20"/>
          <w:szCs w:val="20"/>
        </w:rPr>
        <w:t>Agreements in RAN2#129:</w:t>
      </w:r>
    </w:p>
    <w:p w14:paraId="53B7EE0F" w14:textId="77777777" w:rsidR="00244466" w:rsidRPr="00244466" w:rsidRDefault="00244466" w:rsidP="00F257BC">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rPr>
          <w:sz w:val="20"/>
          <w:szCs w:val="20"/>
        </w:rPr>
      </w:pPr>
      <w:bookmarkStart w:id="3" w:name="_Hlk193881321"/>
      <w:r w:rsidRPr="00244466">
        <w:rPr>
          <w:sz w:val="20"/>
          <w:szCs w:val="20"/>
        </w:rPr>
        <w:t>RAN2 will continue studying paging aspects based, on RAN1 progress</w:t>
      </w:r>
    </w:p>
    <w:p w14:paraId="52348998"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RAN2 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p w14:paraId="448F6562" w14:textId="77777777" w:rsidR="00244466" w:rsidRPr="00244466" w:rsidRDefault="00244466" w:rsidP="00F257BC">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244466">
        <w:rPr>
          <w:sz w:val="20"/>
          <w:szCs w:val="20"/>
        </w:rPr>
        <w:t>RAN2 confirms that idle mode eDRX is supported in IoT-NTN TDD network.</w:t>
      </w:r>
    </w:p>
    <w:p w14:paraId="4C314049"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RAN2 thinks that a change of H-SFN duration (Option 1-1) and/or H-SFN total number (option 2-2) will impact RAN2 and SA2 specification regarding the support of idle mode eDRX in IoT-NTN TDD network and the impact should be evaluated.</w:t>
      </w:r>
    </w:p>
    <w:bookmarkEnd w:id="3"/>
    <w:p w14:paraId="187C08A3"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RAN2 assumes that legacy coverage enhancement techniques (i.e. transmission with repetitions) are supported in IoT-NTN TDD system. </w:t>
      </w:r>
    </w:p>
    <w:p w14:paraId="69642011"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 xml:space="preserve">RAN2 can continue the discussion also on RAR window </w:t>
      </w:r>
    </w:p>
    <w:p w14:paraId="412F17A0" w14:textId="77777777" w:rsidR="00244466" w:rsidRPr="00244466" w:rsidRDefault="00244466" w:rsidP="00F257BC">
      <w:pPr>
        <w:pStyle w:val="aff4"/>
        <w:numPr>
          <w:ilvl w:val="0"/>
          <w:numId w:val="19"/>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244466">
        <w:rPr>
          <w:rFonts w:eastAsia="MS Mincho"/>
          <w:szCs w:val="20"/>
        </w:rPr>
        <w:t>Legacy barring bit will be used (FFS is cellBarred or cellBarred-NTN)</w:t>
      </w:r>
    </w:p>
    <w:p w14:paraId="4D2E883A" w14:textId="77777777" w:rsidR="00DD48E0" w:rsidRPr="00DD48E0" w:rsidRDefault="00DD48E0" w:rsidP="00DD48E0">
      <w:pPr>
        <w:pStyle w:val="Comments"/>
        <w:rPr>
          <w:rFonts w:eastAsiaTheme="minorEastAsia"/>
          <w:lang w:eastAsia="zh-CN"/>
        </w:rPr>
      </w:pPr>
    </w:p>
    <w:p w14:paraId="0D2CF443" w14:textId="3CC98382"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b/>
          <w:bCs/>
          <w:sz w:val="20"/>
          <w:szCs w:val="20"/>
        </w:rPr>
      </w:pPr>
      <w:r w:rsidRPr="00DD48E0">
        <w:rPr>
          <w:b/>
          <w:bCs/>
          <w:sz w:val="20"/>
          <w:szCs w:val="20"/>
        </w:rPr>
        <w:t>Agreements</w:t>
      </w:r>
      <w:r>
        <w:rPr>
          <w:b/>
          <w:bCs/>
          <w:sz w:val="20"/>
          <w:szCs w:val="20"/>
        </w:rPr>
        <w:t xml:space="preserve"> in RAN2#129bis</w:t>
      </w:r>
      <w:r w:rsidRPr="00DD48E0">
        <w:rPr>
          <w:b/>
          <w:bCs/>
          <w:sz w:val="20"/>
          <w:szCs w:val="20"/>
        </w:rPr>
        <w:t>:</w:t>
      </w:r>
    </w:p>
    <w:p w14:paraId="10A363FE"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1.</w:t>
      </w:r>
      <w:r w:rsidRPr="00DD48E0">
        <w:rPr>
          <w:sz w:val="20"/>
          <w:szCs w:val="20"/>
        </w:rPr>
        <w:tab/>
        <w:t>Regarding paging occasion determination, legacy NB-IoT PO determination mechanism is used. When the determined paging subframe is not a valid downlink subframe, the Paging monitoring is postponed to the nearest valid downlink subframe.</w:t>
      </w:r>
    </w:p>
    <w:p w14:paraId="673FBCD8"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2.</w:t>
      </w:r>
      <w:r w:rsidRPr="00DD48E0">
        <w:rPr>
          <w:sz w:val="20"/>
          <w:szCs w:val="20"/>
        </w:rPr>
        <w:tab/>
        <w:t>In IoT-NTN TDD mode, existing cell barring mechanism using the IE cellBarred-r13 and cellBarred-NTN-r17 in SIB1 is sufficient to control access to the IoT-NTN TDD cell.</w:t>
      </w:r>
    </w:p>
    <w:p w14:paraId="133CA5CE"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3.</w:t>
      </w:r>
      <w:r w:rsidRPr="00DD48E0">
        <w:rPr>
          <w:sz w:val="20"/>
          <w:szCs w:val="20"/>
        </w:rPr>
        <w:tab/>
        <w:t>Existing value ranges of timers in unit of PDCCH periods are reused for IoT NTN TDD (FFS on the possible clarification to take into account the impact of invalid subframes</w:t>
      </w:r>
    </w:p>
    <w:p w14:paraId="18B18291"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4.</w:t>
      </w:r>
      <w:r w:rsidRPr="00DD48E0">
        <w:rPr>
          <w:sz w:val="20"/>
          <w:szCs w:val="20"/>
        </w:rPr>
        <w:tab/>
        <w:t>When PUR resource start subframe does not align with the UL subframes in the H-SFN, UE postpones the PUR resource start subframe to the next valid UL subframe</w:t>
      </w:r>
    </w:p>
    <w:p w14:paraId="6CEAA706"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5.</w:t>
      </w:r>
      <w:r w:rsidRPr="00DD48E0">
        <w:rPr>
          <w:sz w:val="20"/>
          <w:szCs w:val="20"/>
        </w:rPr>
        <w:tab/>
        <w:t xml:space="preserve">When the UL SPS overlaps with non-U NB-IoT subframes UE postpones the UL SPS resource to the next valid UL subframe </w:t>
      </w:r>
    </w:p>
    <w:p w14:paraId="011693C9" w14:textId="77777777" w:rsidR="00DD48E0" w:rsidRPr="00DD48E0" w:rsidRDefault="00DD48E0" w:rsidP="00DD48E0">
      <w:pPr>
        <w:pStyle w:val="Doc-text2"/>
        <w:pBdr>
          <w:top w:val="single" w:sz="4" w:space="1" w:color="auto"/>
          <w:left w:val="single" w:sz="4" w:space="4" w:color="auto"/>
          <w:bottom w:val="single" w:sz="4" w:space="1" w:color="auto"/>
          <w:right w:val="single" w:sz="4" w:space="4" w:color="auto"/>
        </w:pBdr>
        <w:rPr>
          <w:sz w:val="20"/>
          <w:szCs w:val="20"/>
        </w:rPr>
      </w:pPr>
      <w:r w:rsidRPr="00DD48E0">
        <w:rPr>
          <w:sz w:val="20"/>
          <w:szCs w:val="20"/>
        </w:rPr>
        <w:t>6.</w:t>
      </w:r>
      <w:r w:rsidRPr="00DD48E0">
        <w:rPr>
          <w:sz w:val="20"/>
          <w:szCs w:val="20"/>
        </w:rPr>
        <w:tab/>
        <w:t>For IoT NTN TDD mode, support k-Mac with a value range up to 1023 ms (add corresponding a restriction in the field description)</w:t>
      </w:r>
    </w:p>
    <w:p w14:paraId="79D08E01" w14:textId="77777777" w:rsidR="00F06491" w:rsidRDefault="00F06491" w:rsidP="00F06491">
      <w:pPr>
        <w:pStyle w:val="Doc-text2"/>
        <w:ind w:left="0" w:firstLine="0"/>
      </w:pPr>
    </w:p>
    <w:p w14:paraId="009D89D4" w14:textId="7F9C68A2" w:rsidR="00F06491" w:rsidRPr="00DD48E0" w:rsidRDefault="00F06491" w:rsidP="00F06491">
      <w:pPr>
        <w:pStyle w:val="Doc-text2"/>
        <w:pBdr>
          <w:top w:val="single" w:sz="4" w:space="1" w:color="auto"/>
          <w:left w:val="single" w:sz="4" w:space="4" w:color="auto"/>
          <w:bottom w:val="single" w:sz="4" w:space="1" w:color="auto"/>
          <w:right w:val="single" w:sz="4" w:space="4" w:color="auto"/>
        </w:pBdr>
        <w:rPr>
          <w:b/>
          <w:bCs/>
          <w:sz w:val="20"/>
          <w:szCs w:val="20"/>
        </w:rPr>
      </w:pPr>
      <w:r w:rsidRPr="00DD48E0">
        <w:rPr>
          <w:b/>
          <w:bCs/>
          <w:sz w:val="20"/>
          <w:szCs w:val="20"/>
        </w:rPr>
        <w:t>Agreements</w:t>
      </w:r>
      <w:r>
        <w:rPr>
          <w:b/>
          <w:bCs/>
          <w:sz w:val="20"/>
          <w:szCs w:val="20"/>
        </w:rPr>
        <w:t xml:space="preserve"> in RAN2#130</w:t>
      </w:r>
      <w:r w:rsidRPr="00DD48E0">
        <w:rPr>
          <w:b/>
          <w:bCs/>
          <w:sz w:val="20"/>
          <w:szCs w:val="20"/>
        </w:rPr>
        <w:t>:</w:t>
      </w:r>
    </w:p>
    <w:p w14:paraId="73116DC3"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1.</w:t>
      </w:r>
      <w:r w:rsidRPr="00F06491">
        <w:rPr>
          <w:sz w:val="20"/>
          <w:szCs w:val="20"/>
        </w:rPr>
        <w:tab/>
        <w:t>The SI-message transmission can be postponed to the next valid D frame within the SI-Window</w:t>
      </w:r>
    </w:p>
    <w:p w14:paraId="7EACBC62"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2.</w:t>
      </w:r>
      <w:r w:rsidRPr="00F06491">
        <w:rPr>
          <w:sz w:val="20"/>
          <w:szCs w:val="20"/>
        </w:rPr>
        <w:tab/>
        <w:t>It is up to NW implementation to avoid SI-window overlap</w:t>
      </w:r>
    </w:p>
    <w:p w14:paraId="43C40731"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lastRenderedPageBreak/>
        <w:t>3.</w:t>
      </w:r>
      <w:r w:rsidRPr="00F06491">
        <w:rPr>
          <w:sz w:val="20"/>
          <w:szCs w:val="20"/>
        </w:rPr>
        <w:tab/>
        <w:t>SI repetitions will not overlap (in case of collision the subsequent SI repetition is postponed)</w:t>
      </w:r>
    </w:p>
    <w:p w14:paraId="5254CBED"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4.</w:t>
      </w:r>
      <w:r w:rsidRPr="00F06491">
        <w:rPr>
          <w:sz w:val="20"/>
          <w:szCs w:val="20"/>
        </w:rPr>
        <w:tab/>
        <w:t>In IoT-NTN TDD mode, the RA-RNTI should be calculated based on the SFN of the first radio frame in which the Random-Access Preamble is transmitted (i.e. no spec change)</w:t>
      </w:r>
    </w:p>
    <w:p w14:paraId="1A2016DF"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5.</w:t>
      </w:r>
      <w:r w:rsidRPr="00F06491">
        <w:rPr>
          <w:sz w:val="20"/>
          <w:szCs w:val="20"/>
        </w:rPr>
        <w:tab/>
        <w:t>For the timer of ra-ResponseWindowSize and mac-ContentionResolutionTimer, the absolute value limitation for FDD (i.e., 10.24s) is used for IoT NTN TDD.</w:t>
      </w:r>
    </w:p>
    <w:p w14:paraId="5C1A1F55"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6.</w:t>
      </w:r>
      <w:r w:rsidRPr="00F06491">
        <w:rPr>
          <w:sz w:val="20"/>
          <w:szCs w:val="20"/>
        </w:rPr>
        <w:tab/>
        <w:t>In IoT-NTN TDD mode the same formula as for RA-RNTI calculation for FDD is reused</w:t>
      </w:r>
    </w:p>
    <w:p w14:paraId="7130F42A"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7.</w:t>
      </w:r>
      <w:r w:rsidRPr="00F06491">
        <w:rPr>
          <w:sz w:val="20"/>
          <w:szCs w:val="20"/>
        </w:rPr>
        <w:tab/>
        <w:t>No extension is needed on the value range of timer in unit of ms or s for IoT NTN TDD</w:t>
      </w:r>
    </w:p>
    <w:p w14:paraId="7E13EBDC"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8.</w:t>
      </w:r>
      <w:r w:rsidRPr="00F06491">
        <w:rPr>
          <w:sz w:val="20"/>
          <w:szCs w:val="20"/>
        </w:rPr>
        <w:tab/>
        <w:t>The remaining paging repetitions falling on the invalid DL SFNs are postponed to the next valid DL SFNs.</w:t>
      </w:r>
    </w:p>
    <w:p w14:paraId="5D4C59D2"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9.</w:t>
      </w:r>
      <w:r w:rsidRPr="00F06491">
        <w:rPr>
          <w:sz w:val="20"/>
          <w:szCs w:val="20"/>
        </w:rPr>
        <w:tab/>
        <w:t>It is up to network to configure the gap between two POs (i.e., parameter NB) to be sufficiently long such that it includes enough number of valid DL subframes for NumRepetitionPaging-r13 (no spec impact)</w:t>
      </w:r>
    </w:p>
    <w:p w14:paraId="551EB3B7"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10.</w:t>
      </w:r>
      <w:r w:rsidRPr="00F06491">
        <w:rPr>
          <w:sz w:val="20"/>
          <w:szCs w:val="20"/>
        </w:rPr>
        <w:tab/>
        <w:t>Introduce the following definition for IoT-NTN TDD mode in the impacted RAN2 specifications:</w:t>
      </w:r>
      <w:r w:rsidRPr="00F06491">
        <w:rPr>
          <w:sz w:val="20"/>
          <w:szCs w:val="20"/>
        </w:rPr>
        <w:br/>
        <w:t>IoT-NTN TDD mode: allows use of NB-IoT channels with TDD mode for NTN with fixed values of D non-overlapping usable contiguous DL subframes and set of U usable contiguous UL subframes separated by fixed guard period (can revisit this based on the TP being prepared by RAN1)</w:t>
      </w:r>
    </w:p>
    <w:p w14:paraId="15E158F0"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11.</w:t>
      </w:r>
      <w:r w:rsidRPr="00F06491">
        <w:rPr>
          <w:sz w:val="20"/>
          <w:szCs w:val="20"/>
        </w:rPr>
        <w:tab/>
        <w:t xml:space="preserve">In Rel19, RAN2 will not work on any specific enhancements to ensure that the features being specified in IoT_NTN_Ph3-Core will also work for IoT NTN TDD mode </w:t>
      </w:r>
    </w:p>
    <w:p w14:paraId="011DA06B" w14:textId="77777777" w:rsidR="00F06491" w:rsidRPr="00F06491" w:rsidRDefault="00F06491" w:rsidP="00F06491">
      <w:pPr>
        <w:pStyle w:val="Doc-text2"/>
        <w:pBdr>
          <w:top w:val="single" w:sz="4" w:space="1" w:color="auto"/>
          <w:left w:val="single" w:sz="4" w:space="4" w:color="auto"/>
          <w:bottom w:val="single" w:sz="4" w:space="1" w:color="auto"/>
          <w:right w:val="single" w:sz="4" w:space="4" w:color="auto"/>
        </w:pBdr>
        <w:rPr>
          <w:sz w:val="20"/>
          <w:szCs w:val="20"/>
        </w:rPr>
      </w:pPr>
      <w:r w:rsidRPr="00F06491">
        <w:rPr>
          <w:sz w:val="20"/>
          <w:szCs w:val="20"/>
        </w:rPr>
        <w:t>12. In IoT_NTN_Ph3-Core, RAN2 will not work on any specific enhancements to ensure that the features being specified in IoT_NTN_Ph3-Core will also work for IoT NTN TDD mode. RAN2 understands that, as part of the IoT_NTN_TDD WI, we can discuss on a case by case basis whether minor specific enhancements – not affecting other WGs - can be supported to ensure that (some of) the features being specified in IoT_NTN_Ph3-Core will also work for IoT NTN TDD mode</w:t>
      </w:r>
    </w:p>
    <w:p w14:paraId="4E143F63" w14:textId="77777777" w:rsidR="00F06491" w:rsidRPr="00F06491" w:rsidRDefault="00F06491" w:rsidP="00AB4A6B">
      <w:pPr>
        <w:pStyle w:val="afa"/>
        <w:rPr>
          <w:rFonts w:eastAsiaTheme="minorEastAsia"/>
        </w:rPr>
      </w:pPr>
    </w:p>
    <w:p w14:paraId="4AB2900E" w14:textId="780E698C" w:rsidR="004E4CBB" w:rsidRDefault="003E7A3F" w:rsidP="00E54656">
      <w:r>
        <w:rPr>
          <w:lang w:eastAsia="ko-KR"/>
        </w:rPr>
        <w:t>In this contribution, we</w:t>
      </w:r>
      <w:r w:rsidR="003D1DDD">
        <w:rPr>
          <w:lang w:eastAsia="ko-KR"/>
        </w:rPr>
        <w:t xml:space="preserve"> </w:t>
      </w:r>
      <w:r w:rsidR="00DD48E0">
        <w:rPr>
          <w:lang w:eastAsia="ko-KR"/>
        </w:rPr>
        <w:t>further</w:t>
      </w:r>
      <w:r w:rsidR="003D1DDD">
        <w:rPr>
          <w:lang w:eastAsia="ko-KR"/>
        </w:rPr>
        <w:t xml:space="preserve"> discuss</w:t>
      </w:r>
      <w:r w:rsidR="004E4CBB">
        <w:rPr>
          <w:rFonts w:hint="eastAsia"/>
        </w:rPr>
        <w:t xml:space="preserve"> </w:t>
      </w:r>
      <w:r w:rsidR="00DD48E0">
        <w:t xml:space="preserve">left open issues on </w:t>
      </w:r>
      <w:r w:rsidR="00084466" w:rsidRPr="006B2F9F">
        <w:t>TDD support for NB IoT NTN</w:t>
      </w:r>
      <w:r w:rsidR="00084466">
        <w:t xml:space="preserve"> and present our view.</w:t>
      </w:r>
    </w:p>
    <w:p w14:paraId="1789EBA3" w14:textId="31AA0D70" w:rsidR="00A3068F" w:rsidRPr="00883150" w:rsidRDefault="0049681A" w:rsidP="00883150">
      <w:pPr>
        <w:pStyle w:val="1"/>
        <w:rPr>
          <w:rFonts w:hint="eastAsia"/>
        </w:rPr>
      </w:pPr>
      <w:bookmarkStart w:id="4" w:name="_Toc131757145"/>
      <w:bookmarkEnd w:id="2"/>
      <w:r>
        <w:rPr>
          <w:rFonts w:hint="eastAsia"/>
        </w:rPr>
        <w:t>D</w:t>
      </w:r>
      <w:r>
        <w:t>iscussion</w:t>
      </w:r>
      <w:bookmarkEnd w:id="4"/>
      <w:r w:rsidR="0073288F">
        <w:t xml:space="preserve"> </w:t>
      </w:r>
    </w:p>
    <w:p w14:paraId="2C21495F" w14:textId="27301525" w:rsidR="00736AAB" w:rsidRDefault="00736AAB" w:rsidP="005A5587">
      <w:pPr>
        <w:pStyle w:val="Proposal"/>
        <w:numPr>
          <w:ilvl w:val="0"/>
          <w:numId w:val="0"/>
        </w:numPr>
        <w:rPr>
          <w:b w:val="0"/>
          <w:bCs w:val="0"/>
          <w:lang w:val="en-US"/>
        </w:rPr>
      </w:pPr>
      <w:r>
        <w:rPr>
          <w:b w:val="0"/>
          <w:bCs w:val="0"/>
          <w:lang w:val="en-US"/>
        </w:rPr>
        <w:t>In RAN1#120bis, RAN1 made the following agreements regarding NPRACH transmission in NTN TDD mode.</w:t>
      </w:r>
    </w:p>
    <w:tbl>
      <w:tblPr>
        <w:tblStyle w:val="aff9"/>
        <w:tblW w:w="0" w:type="auto"/>
        <w:tblLook w:val="04A0" w:firstRow="1" w:lastRow="0" w:firstColumn="1" w:lastColumn="0" w:noHBand="0" w:noVBand="1"/>
      </w:tblPr>
      <w:tblGrid>
        <w:gridCol w:w="9629"/>
      </w:tblGrid>
      <w:tr w:rsidR="00736AAB" w14:paraId="723B1250" w14:textId="77777777" w:rsidTr="00736AAB">
        <w:tc>
          <w:tcPr>
            <w:tcW w:w="9629" w:type="dxa"/>
          </w:tcPr>
          <w:p w14:paraId="5F3A8BAF" w14:textId="77777777" w:rsidR="00736AAB" w:rsidRPr="00FE48E1" w:rsidRDefault="00736AAB" w:rsidP="00736AAB">
            <w:pPr>
              <w:snapToGrid w:val="0"/>
              <w:jc w:val="left"/>
              <w:rPr>
                <w:rFonts w:ascii="Times" w:eastAsia="Batang" w:hAnsi="Times"/>
                <w:b/>
                <w:bCs/>
                <w:szCs w:val="24"/>
                <w:lang w:eastAsia="en-US"/>
              </w:rPr>
            </w:pPr>
            <w:r w:rsidRPr="00FE48E1">
              <w:rPr>
                <w:rFonts w:ascii="Times" w:eastAsia="Batang" w:hAnsi="Times"/>
                <w:b/>
                <w:bCs/>
                <w:szCs w:val="24"/>
                <w:highlight w:val="green"/>
                <w:lang w:eastAsia="en-US"/>
              </w:rPr>
              <w:t>Agreement</w:t>
            </w:r>
          </w:p>
          <w:p w14:paraId="640DA5E5" w14:textId="77777777" w:rsidR="00736AAB" w:rsidRPr="00FE48E1" w:rsidRDefault="00736AAB" w:rsidP="00736AAB">
            <w:pPr>
              <w:snapToGrid w:val="0"/>
              <w:jc w:val="left"/>
              <w:rPr>
                <w:rFonts w:ascii="Times" w:eastAsia="Batang" w:hAnsi="Times"/>
                <w:bCs/>
                <w:szCs w:val="24"/>
                <w:lang w:eastAsia="en-US"/>
              </w:rPr>
            </w:pPr>
            <w:r w:rsidRPr="00FE48E1">
              <w:rPr>
                <w:rFonts w:ascii="Times" w:eastAsia="Batang" w:hAnsi="Times"/>
                <w:bCs/>
                <w:szCs w:val="24"/>
                <w:lang w:eastAsia="en-US"/>
              </w:rPr>
              <w:t>NPRACH transmissions are postponed in non-U NB-IoT subframes until the next U NB-IoT subframe(s). The unit of postponement is one PRU.</w:t>
            </w:r>
          </w:p>
          <w:p w14:paraId="7AA21C8D" w14:textId="77777777" w:rsidR="00736AAB" w:rsidRPr="00FE48E1" w:rsidRDefault="00736AAB" w:rsidP="00F257BC">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bCs/>
                <w:szCs w:val="24"/>
              </w:rPr>
            </w:pPr>
            <w:r w:rsidRPr="00FE48E1">
              <w:rPr>
                <w:rFonts w:ascii="Times" w:eastAsia="Batang" w:hAnsi="Times"/>
                <w:bCs/>
                <w:szCs w:val="24"/>
              </w:rPr>
              <w:t>NOTE: “U NB-IoT subframes” are subframes contained within the set of U=8 usable consecutive uplink subframes in the TDD structure.</w:t>
            </w:r>
          </w:p>
          <w:p w14:paraId="382E4FAC" w14:textId="77777777" w:rsidR="00736AAB" w:rsidRPr="00FE48E1" w:rsidRDefault="00736AAB" w:rsidP="00736AAB">
            <w:pPr>
              <w:overflowPunct w:val="0"/>
              <w:autoSpaceDE w:val="0"/>
              <w:autoSpaceDN w:val="0"/>
              <w:adjustRightInd w:val="0"/>
              <w:snapToGrid w:val="0"/>
              <w:jc w:val="left"/>
              <w:textAlignment w:val="baseline"/>
              <w:rPr>
                <w:rFonts w:ascii="Times" w:eastAsia="Batang" w:hAnsi="Times"/>
                <w:bCs/>
                <w:szCs w:val="24"/>
              </w:rPr>
            </w:pPr>
            <w:r w:rsidRPr="00FE48E1">
              <w:rPr>
                <w:rFonts w:ascii="Times" w:eastAsia="Batang" w:hAnsi="Times"/>
                <w:bCs/>
                <w:szCs w:val="24"/>
              </w:rPr>
              <w:t>NPRACH periodicities of 40ms and 80ms are not supported in NB-IoT NTN TDD mode</w:t>
            </w:r>
          </w:p>
          <w:p w14:paraId="1ABD7B97" w14:textId="59A6F9DD" w:rsidR="00736AAB" w:rsidRPr="00736AAB" w:rsidRDefault="00736AAB" w:rsidP="00F257BC">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bCs/>
                <w:szCs w:val="24"/>
              </w:rPr>
            </w:pPr>
            <w:r w:rsidRPr="00FE48E1">
              <w:rPr>
                <w:rFonts w:ascii="Times" w:eastAsia="等线" w:hAnsi="Times"/>
                <w:bCs/>
                <w:szCs w:val="24"/>
              </w:rPr>
              <w:t>Instead, periodicities of 90ms and 180ms are supported</w:t>
            </w:r>
          </w:p>
        </w:tc>
      </w:tr>
    </w:tbl>
    <w:p w14:paraId="4C53E5B6" w14:textId="4B63FEE9" w:rsidR="00736AAB" w:rsidRDefault="00736AAB" w:rsidP="005A5587">
      <w:pPr>
        <w:pStyle w:val="Proposal"/>
        <w:numPr>
          <w:ilvl w:val="0"/>
          <w:numId w:val="0"/>
        </w:numPr>
        <w:rPr>
          <w:b w:val="0"/>
          <w:bCs w:val="0"/>
          <w:lang w:val="en-US"/>
        </w:rPr>
      </w:pPr>
    </w:p>
    <w:p w14:paraId="563708AF" w14:textId="1C78E12B" w:rsidR="00736AAB" w:rsidRDefault="00736AAB" w:rsidP="005A5587">
      <w:pPr>
        <w:pStyle w:val="Proposal"/>
        <w:numPr>
          <w:ilvl w:val="0"/>
          <w:numId w:val="0"/>
        </w:numPr>
        <w:rPr>
          <w:b w:val="0"/>
          <w:bCs w:val="0"/>
        </w:rPr>
      </w:pPr>
      <w:r>
        <w:rPr>
          <w:b w:val="0"/>
          <w:bCs w:val="0"/>
          <w:lang w:val="en-US"/>
        </w:rPr>
        <w:t>Based on RAN1 agreements, in NTN TDD mode, the minimum NPRACH periodicity is 90ms, which is equal to the TDD frame periodicity, so in each periodicity of 90ms, there would be at most one NPRACH transmission in non-U NB-I</w:t>
      </w:r>
      <w:r>
        <w:rPr>
          <w:rFonts w:hint="eastAsia"/>
          <w:b w:val="0"/>
          <w:bCs w:val="0"/>
          <w:lang w:val="en-US"/>
        </w:rPr>
        <w:t>o</w:t>
      </w:r>
      <w:r>
        <w:rPr>
          <w:b w:val="0"/>
          <w:bCs w:val="0"/>
          <w:lang w:val="en-US"/>
        </w:rPr>
        <w:t>T subframes to be postponed to the next U NB-I</w:t>
      </w:r>
      <w:r>
        <w:rPr>
          <w:rFonts w:hint="eastAsia"/>
          <w:b w:val="0"/>
          <w:bCs w:val="0"/>
          <w:lang w:val="en-US"/>
        </w:rPr>
        <w:t>o</w:t>
      </w:r>
      <w:r>
        <w:rPr>
          <w:b w:val="0"/>
          <w:bCs w:val="0"/>
          <w:lang w:val="en-US"/>
        </w:rPr>
        <w:t xml:space="preserve">T subframes. Therefore, there is no </w:t>
      </w:r>
      <w:r w:rsidRPr="00736AAB">
        <w:rPr>
          <w:b w:val="0"/>
          <w:bCs w:val="0"/>
        </w:rPr>
        <w:t>collision</w:t>
      </w:r>
      <w:r>
        <w:rPr>
          <w:b w:val="0"/>
          <w:bCs w:val="0"/>
        </w:rPr>
        <w:t xml:space="preserve"> for NPRACH transmission.</w:t>
      </w:r>
    </w:p>
    <w:p w14:paraId="053AC719" w14:textId="164B725E" w:rsidR="005E18B8" w:rsidRPr="00A3068F" w:rsidRDefault="00736AAB" w:rsidP="00A3068F">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ind w:left="1701" w:hanging="1701"/>
        <w:textAlignment w:val="baseline"/>
      </w:pPr>
      <w:r>
        <w:t>There</w:t>
      </w:r>
      <w:r w:rsidR="008D50C8" w:rsidRPr="008D50C8">
        <w:t xml:space="preserve"> is no collision issue </w:t>
      </w:r>
      <w:r>
        <w:t>for NPRACH transmission.</w:t>
      </w:r>
    </w:p>
    <w:p w14:paraId="58664D86" w14:textId="57467AB4" w:rsidR="005E18B8" w:rsidRPr="00C90D2B" w:rsidRDefault="00B55E8F" w:rsidP="00C90D2B">
      <w:pPr>
        <w:pStyle w:val="affa"/>
        <w:rPr>
          <w:rFonts w:ascii="Arial" w:hAnsi="Arial" w:cs="Arial"/>
          <w:sz w:val="20"/>
          <w:szCs w:val="20"/>
        </w:rPr>
      </w:pPr>
      <w:r w:rsidRPr="007E3821">
        <w:rPr>
          <w:rFonts w:ascii="Arial" w:hAnsi="Arial" w:cs="Times New Roman"/>
          <w:sz w:val="20"/>
          <w:szCs w:val="22"/>
        </w:rPr>
        <w:t>R</w:t>
      </w:r>
      <w:r w:rsidRPr="007E3821">
        <w:rPr>
          <w:rFonts w:ascii="Arial" w:hAnsi="Arial" w:cs="Times New Roman" w:hint="eastAsia"/>
          <w:sz w:val="20"/>
          <w:szCs w:val="22"/>
        </w:rPr>
        <w:t>egarding</w:t>
      </w:r>
      <w:r w:rsidRPr="007E3821">
        <w:rPr>
          <w:rFonts w:ascii="Arial" w:hAnsi="Arial" w:cs="Times New Roman"/>
          <w:sz w:val="20"/>
          <w:szCs w:val="22"/>
        </w:rPr>
        <w:t xml:space="preserve"> ULSPS</w:t>
      </w:r>
      <w:r w:rsidRPr="007E3821">
        <w:rPr>
          <w:rFonts w:ascii="Arial" w:hAnsi="Arial" w:cs="Times New Roman" w:hint="eastAsia"/>
          <w:sz w:val="20"/>
          <w:szCs w:val="22"/>
        </w:rPr>
        <w:t>，</w:t>
      </w:r>
      <w:r w:rsidR="005E18B8" w:rsidRPr="007E3821">
        <w:rPr>
          <w:rFonts w:ascii="Arial" w:hAnsi="Arial" w:cs="Times New Roman"/>
          <w:sz w:val="20"/>
          <w:szCs w:val="22"/>
        </w:rPr>
        <w:t>RAN2 has agreed that when the UL SPS overlaps with non-U NB-IoT subframes UE postpones the UL SPS resource to the next U subframe, so there may be SPS collision between different UEs.</w:t>
      </w:r>
      <w:r w:rsidRPr="007E3821">
        <w:rPr>
          <w:rFonts w:ascii="Arial" w:hAnsi="Arial" w:cs="Times New Roman"/>
          <w:sz w:val="20"/>
          <w:szCs w:val="22"/>
        </w:rPr>
        <w:t xml:space="preserve"> </w:t>
      </w:r>
      <w:r w:rsidR="00A0417E" w:rsidRPr="007E3821">
        <w:rPr>
          <w:rFonts w:ascii="Arial" w:hAnsi="Arial" w:cs="Times New Roman"/>
          <w:sz w:val="20"/>
          <w:szCs w:val="22"/>
        </w:rPr>
        <w:t>As UE cannot be aware of the UL SPS collision, it should be up to network configuration to avoid this collision, e.g</w:t>
      </w:r>
      <w:r w:rsidR="00F77CC1">
        <w:rPr>
          <w:rFonts w:ascii="Arial" w:hAnsi="Arial" w:cs="Times New Roman"/>
          <w:sz w:val="20"/>
          <w:szCs w:val="22"/>
        </w:rPr>
        <w:t>.</w:t>
      </w:r>
      <w:r w:rsidR="00A0417E" w:rsidRPr="007E3821">
        <w:rPr>
          <w:rFonts w:ascii="Arial" w:hAnsi="Arial" w:cs="Times New Roman"/>
          <w:sz w:val="20"/>
          <w:szCs w:val="22"/>
        </w:rPr>
        <w:t>UE can be configured with a (starting) subframe id within the 8 UL NB-I</w:t>
      </w:r>
      <w:r w:rsidR="00A0417E" w:rsidRPr="007E3821">
        <w:rPr>
          <w:rFonts w:ascii="Arial" w:hAnsi="Arial" w:cs="Times New Roman" w:hint="eastAsia"/>
          <w:sz w:val="20"/>
          <w:szCs w:val="22"/>
        </w:rPr>
        <w:t>o</w:t>
      </w:r>
      <w:r w:rsidR="00A0417E" w:rsidRPr="007E3821">
        <w:rPr>
          <w:rFonts w:ascii="Arial" w:hAnsi="Arial" w:cs="Times New Roman"/>
          <w:sz w:val="20"/>
          <w:szCs w:val="22"/>
        </w:rPr>
        <w:t>T subframes for UL SPS transmission</w:t>
      </w:r>
      <w:r w:rsidR="007E3821" w:rsidRPr="007E3821">
        <w:rPr>
          <w:rFonts w:ascii="Arial" w:hAnsi="Arial" w:cs="Times New Roman"/>
          <w:sz w:val="20"/>
          <w:szCs w:val="22"/>
        </w:rPr>
        <w:t xml:space="preserve">. </w:t>
      </w:r>
      <w:r w:rsidR="00F77CC1">
        <w:rPr>
          <w:rFonts w:ascii="Arial" w:hAnsi="Arial" w:cs="Times New Roman"/>
          <w:sz w:val="20"/>
          <w:szCs w:val="22"/>
        </w:rPr>
        <w:t>Since</w:t>
      </w:r>
      <w:r w:rsidR="007E3821" w:rsidRPr="007E3821">
        <w:rPr>
          <w:rFonts w:ascii="Arial" w:hAnsi="Arial" w:cs="Times New Roman"/>
          <w:sz w:val="20"/>
          <w:szCs w:val="22"/>
        </w:rPr>
        <w:t xml:space="preserve"> there </w:t>
      </w:r>
      <w:r w:rsidR="00F77CC1">
        <w:rPr>
          <w:rFonts w:ascii="Arial" w:hAnsi="Arial" w:cs="Times New Roman"/>
          <w:sz w:val="20"/>
          <w:szCs w:val="22"/>
        </w:rPr>
        <w:t>are</w:t>
      </w:r>
      <w:r w:rsidR="007E3821" w:rsidRPr="007E3821">
        <w:rPr>
          <w:rFonts w:ascii="Arial" w:hAnsi="Arial" w:cs="Times New Roman"/>
          <w:sz w:val="20"/>
          <w:szCs w:val="22"/>
        </w:rPr>
        <w:t xml:space="preserve"> </w:t>
      </w:r>
      <w:r w:rsidR="00F77CC1">
        <w:rPr>
          <w:rFonts w:ascii="Arial" w:hAnsi="Arial" w:cs="Times New Roman"/>
          <w:sz w:val="20"/>
          <w:szCs w:val="22"/>
        </w:rPr>
        <w:t>also</w:t>
      </w:r>
      <w:r w:rsidR="007E3821" w:rsidRPr="007E3821">
        <w:rPr>
          <w:rFonts w:ascii="Arial" w:hAnsi="Arial" w:cs="Times New Roman"/>
          <w:sz w:val="20"/>
          <w:szCs w:val="22"/>
        </w:rPr>
        <w:t xml:space="preserve"> </w:t>
      </w:r>
      <w:r w:rsidR="00F77CC1">
        <w:rPr>
          <w:rFonts w:ascii="Arial" w:hAnsi="Arial" w:cs="Times New Roman"/>
          <w:sz w:val="20"/>
          <w:szCs w:val="22"/>
        </w:rPr>
        <w:t xml:space="preserve">UL </w:t>
      </w:r>
      <w:r w:rsidR="007E3821" w:rsidRPr="007E3821">
        <w:rPr>
          <w:rFonts w:ascii="Arial" w:hAnsi="Arial" w:cs="Times New Roman"/>
          <w:sz w:val="20"/>
          <w:szCs w:val="22"/>
        </w:rPr>
        <w:t xml:space="preserve">SPS </w:t>
      </w:r>
      <w:r w:rsidR="00F77CC1">
        <w:rPr>
          <w:rFonts w:ascii="Arial" w:hAnsi="Arial" w:cs="Times New Roman"/>
          <w:sz w:val="20"/>
          <w:szCs w:val="22"/>
        </w:rPr>
        <w:t xml:space="preserve">occasions </w:t>
      </w:r>
      <w:r w:rsidR="007E3821" w:rsidRPr="007E3821">
        <w:rPr>
          <w:rFonts w:ascii="Arial" w:hAnsi="Arial" w:cs="Times New Roman"/>
          <w:sz w:val="20"/>
          <w:szCs w:val="22"/>
        </w:rPr>
        <w:t xml:space="preserve">located within </w:t>
      </w:r>
      <w:r w:rsidR="00C90D2B">
        <w:rPr>
          <w:rFonts w:ascii="Arial" w:hAnsi="Arial" w:cs="Times New Roman"/>
          <w:sz w:val="20"/>
          <w:szCs w:val="22"/>
        </w:rPr>
        <w:t xml:space="preserve">the </w:t>
      </w:r>
      <w:r w:rsidR="00F77CC1" w:rsidRPr="007E3821">
        <w:rPr>
          <w:rFonts w:ascii="Arial" w:hAnsi="Arial" w:cs="Times New Roman"/>
          <w:sz w:val="20"/>
          <w:szCs w:val="22"/>
        </w:rPr>
        <w:t>U NB-IoT subframes</w:t>
      </w:r>
      <w:r w:rsidR="00F77CC1">
        <w:rPr>
          <w:rFonts w:ascii="Arial" w:hAnsi="Arial" w:cs="Times New Roman"/>
          <w:sz w:val="20"/>
          <w:szCs w:val="22"/>
        </w:rPr>
        <w:t xml:space="preserve">, these UL </w:t>
      </w:r>
      <w:r w:rsidR="00F77CC1" w:rsidRPr="007E3821">
        <w:rPr>
          <w:rFonts w:ascii="Arial" w:hAnsi="Arial" w:cs="Times New Roman"/>
          <w:sz w:val="20"/>
          <w:szCs w:val="22"/>
        </w:rPr>
        <w:t>SPS</w:t>
      </w:r>
      <w:r w:rsidR="00F77CC1">
        <w:rPr>
          <w:rFonts w:ascii="Arial" w:hAnsi="Arial" w:cs="Times New Roman"/>
          <w:sz w:val="20"/>
          <w:szCs w:val="22"/>
        </w:rPr>
        <w:t xml:space="preserve"> occasions without any</w:t>
      </w:r>
      <w:r w:rsidR="007E3821" w:rsidRPr="007E3821">
        <w:rPr>
          <w:rFonts w:ascii="Arial" w:hAnsi="Arial" w:cs="Times New Roman"/>
          <w:sz w:val="20"/>
          <w:szCs w:val="22"/>
        </w:rPr>
        <w:t xml:space="preserve"> </w:t>
      </w:r>
      <w:r w:rsidR="00F77CC1">
        <w:rPr>
          <w:rFonts w:ascii="Arial" w:hAnsi="Arial" w:cs="Times New Roman"/>
          <w:sz w:val="20"/>
          <w:szCs w:val="22"/>
        </w:rPr>
        <w:t xml:space="preserve">postponement </w:t>
      </w:r>
      <w:r w:rsidR="007E3821" w:rsidRPr="007E3821">
        <w:rPr>
          <w:rFonts w:ascii="Arial" w:hAnsi="Arial" w:cs="Times New Roman"/>
          <w:sz w:val="20"/>
          <w:szCs w:val="22"/>
        </w:rPr>
        <w:t xml:space="preserve">may collide with other postponed </w:t>
      </w:r>
      <w:r w:rsidR="00F77CC1">
        <w:rPr>
          <w:rFonts w:ascii="Arial" w:hAnsi="Arial" w:cs="Times New Roman"/>
          <w:sz w:val="20"/>
          <w:szCs w:val="22"/>
        </w:rPr>
        <w:t xml:space="preserve">UL </w:t>
      </w:r>
      <w:r w:rsidR="007E3821" w:rsidRPr="007E3821">
        <w:rPr>
          <w:rFonts w:ascii="Arial" w:hAnsi="Arial" w:cs="Times New Roman"/>
          <w:sz w:val="20"/>
          <w:szCs w:val="22"/>
        </w:rPr>
        <w:t xml:space="preserve">SPS </w:t>
      </w:r>
      <w:r w:rsidR="00F77CC1">
        <w:rPr>
          <w:rFonts w:ascii="Arial" w:hAnsi="Arial" w:cs="Times New Roman"/>
          <w:sz w:val="20"/>
          <w:szCs w:val="22"/>
        </w:rPr>
        <w:t>occasions</w:t>
      </w:r>
      <w:r w:rsidR="007E3821" w:rsidRPr="007E3821">
        <w:rPr>
          <w:rFonts w:ascii="Arial" w:hAnsi="Arial" w:cs="Times New Roman"/>
          <w:sz w:val="20"/>
          <w:szCs w:val="22"/>
        </w:rPr>
        <w:t xml:space="preserve">. </w:t>
      </w:r>
      <w:r w:rsidR="007E3821" w:rsidRPr="00C90D2B">
        <w:rPr>
          <w:rFonts w:ascii="Arial" w:hAnsi="Arial" w:cs="Times New Roman"/>
          <w:sz w:val="20"/>
          <w:szCs w:val="22"/>
        </w:rPr>
        <w:t xml:space="preserve">To resolve the problem, </w:t>
      </w:r>
      <w:r w:rsidR="00C90D2B">
        <w:rPr>
          <w:rFonts w:ascii="Arial" w:hAnsi="Arial" w:cs="Times New Roman"/>
          <w:sz w:val="20"/>
          <w:szCs w:val="22"/>
        </w:rPr>
        <w:t xml:space="preserve">it is needed that for a </w:t>
      </w:r>
      <w:r w:rsidR="00C90D2B" w:rsidRPr="007E3821">
        <w:rPr>
          <w:rFonts w:ascii="Arial" w:hAnsi="Arial" w:cs="Times New Roman"/>
          <w:sz w:val="20"/>
          <w:szCs w:val="22"/>
        </w:rPr>
        <w:t>SPS</w:t>
      </w:r>
      <w:r w:rsidR="00C90D2B">
        <w:rPr>
          <w:rFonts w:ascii="Arial" w:hAnsi="Arial" w:cs="Times New Roman"/>
          <w:sz w:val="20"/>
          <w:szCs w:val="22"/>
        </w:rPr>
        <w:t xml:space="preserve"> occasion</w:t>
      </w:r>
      <w:r w:rsidR="00C90D2B" w:rsidRPr="00C90D2B">
        <w:rPr>
          <w:rFonts w:ascii="Arial" w:hAnsi="Arial" w:cs="Times New Roman"/>
          <w:sz w:val="20"/>
          <w:szCs w:val="22"/>
        </w:rPr>
        <w:t xml:space="preserve"> </w:t>
      </w:r>
      <w:r w:rsidR="00C90D2B" w:rsidRPr="007E3821">
        <w:rPr>
          <w:rFonts w:ascii="Arial" w:hAnsi="Arial" w:cs="Times New Roman"/>
          <w:sz w:val="20"/>
          <w:szCs w:val="22"/>
        </w:rPr>
        <w:t>within the 8 UL NB-I</w:t>
      </w:r>
      <w:r w:rsidR="00C90D2B" w:rsidRPr="007E3821">
        <w:rPr>
          <w:rFonts w:ascii="Arial" w:hAnsi="Arial" w:cs="Times New Roman" w:hint="eastAsia"/>
          <w:sz w:val="20"/>
          <w:szCs w:val="22"/>
        </w:rPr>
        <w:t>o</w:t>
      </w:r>
      <w:r w:rsidR="00C90D2B" w:rsidRPr="007E3821">
        <w:rPr>
          <w:rFonts w:ascii="Arial" w:hAnsi="Arial" w:cs="Times New Roman"/>
          <w:sz w:val="20"/>
          <w:szCs w:val="22"/>
        </w:rPr>
        <w:t>T subframes</w:t>
      </w:r>
      <w:r w:rsidR="00C90D2B">
        <w:rPr>
          <w:rFonts w:ascii="Arial" w:hAnsi="Arial" w:cs="Times New Roman"/>
          <w:sz w:val="20"/>
          <w:szCs w:val="22"/>
        </w:rPr>
        <w:t xml:space="preserve">, its </w:t>
      </w:r>
      <w:r w:rsidR="00C90D2B" w:rsidRPr="007E3821">
        <w:rPr>
          <w:rFonts w:ascii="Arial" w:hAnsi="Arial" w:cs="Times New Roman"/>
          <w:sz w:val="20"/>
          <w:szCs w:val="22"/>
        </w:rPr>
        <w:t>(starting) subframe id</w:t>
      </w:r>
      <w:r w:rsidR="00C90D2B">
        <w:rPr>
          <w:rFonts w:ascii="Arial" w:hAnsi="Arial" w:cs="Times New Roman"/>
          <w:sz w:val="20"/>
          <w:szCs w:val="22"/>
        </w:rPr>
        <w:t xml:space="preserve"> also follow the configured </w:t>
      </w:r>
      <w:r w:rsidR="00C90D2B" w:rsidRPr="007E3821">
        <w:rPr>
          <w:rFonts w:ascii="Arial" w:hAnsi="Arial" w:cs="Times New Roman"/>
          <w:sz w:val="20"/>
          <w:szCs w:val="22"/>
        </w:rPr>
        <w:t>(starting) subframe id</w:t>
      </w:r>
      <w:r w:rsidR="007E3821" w:rsidRPr="00C90D2B">
        <w:rPr>
          <w:rFonts w:ascii="Arial" w:hAnsi="Arial" w:cs="Times New Roman"/>
          <w:sz w:val="20"/>
          <w:szCs w:val="22"/>
        </w:rPr>
        <w:t xml:space="preserve">. </w:t>
      </w:r>
      <w:r w:rsidR="00C90D2B">
        <w:rPr>
          <w:rFonts w:ascii="Arial" w:hAnsi="Arial" w:cs="Times New Roman"/>
          <w:sz w:val="20"/>
          <w:szCs w:val="22"/>
        </w:rPr>
        <w:t xml:space="preserve">In other words, the </w:t>
      </w:r>
      <w:r w:rsidR="00C90D2B" w:rsidRPr="007E3821">
        <w:rPr>
          <w:rFonts w:ascii="Arial" w:hAnsi="Arial" w:cs="Times New Roman"/>
          <w:sz w:val="20"/>
          <w:szCs w:val="22"/>
        </w:rPr>
        <w:t>configured (starting) subframe id</w:t>
      </w:r>
      <w:r w:rsidR="00C90D2B">
        <w:rPr>
          <w:rFonts w:ascii="Arial" w:hAnsi="Arial" w:cs="Times New Roman"/>
          <w:sz w:val="20"/>
          <w:szCs w:val="22"/>
        </w:rPr>
        <w:t xml:space="preserve"> </w:t>
      </w:r>
      <w:r w:rsidR="00A0417E" w:rsidRPr="00960774">
        <w:rPr>
          <w:rFonts w:ascii="Arial" w:hAnsi="Arial" w:cs="Times New Roman"/>
          <w:sz w:val="20"/>
          <w:szCs w:val="22"/>
        </w:rPr>
        <w:lastRenderedPageBreak/>
        <w:t xml:space="preserve">should be applied to all UL SPS transmissions, regardless of the UL SPS occasion </w:t>
      </w:r>
      <w:r w:rsidR="005E18B8" w:rsidRPr="00960774">
        <w:rPr>
          <w:rFonts w:ascii="Arial" w:hAnsi="Arial" w:cs="Times New Roman"/>
          <w:sz w:val="20"/>
          <w:szCs w:val="22"/>
        </w:rPr>
        <w:t>overlap</w:t>
      </w:r>
      <w:r w:rsidR="00A0417E" w:rsidRPr="00960774">
        <w:rPr>
          <w:rFonts w:ascii="Arial" w:hAnsi="Arial" w:cs="Times New Roman"/>
          <w:sz w:val="20"/>
          <w:szCs w:val="22"/>
        </w:rPr>
        <w:t>ping</w:t>
      </w:r>
      <w:r w:rsidR="005E18B8" w:rsidRPr="00960774">
        <w:rPr>
          <w:rFonts w:ascii="Arial" w:hAnsi="Arial" w:cs="Times New Roman"/>
          <w:sz w:val="20"/>
          <w:szCs w:val="22"/>
        </w:rPr>
        <w:t xml:space="preserve"> with non-U NB-IoT subframes</w:t>
      </w:r>
      <w:r w:rsidR="00A0417E" w:rsidRPr="00960774">
        <w:rPr>
          <w:rFonts w:ascii="Arial" w:hAnsi="Arial" w:cs="Times New Roman"/>
          <w:sz w:val="20"/>
          <w:szCs w:val="22"/>
        </w:rPr>
        <w:t xml:space="preserve"> or not.</w:t>
      </w:r>
    </w:p>
    <w:p w14:paraId="436E4963" w14:textId="399717CF" w:rsidR="00736AAB" w:rsidRPr="00A0417E" w:rsidRDefault="00A0417E" w:rsidP="00F257BC">
      <w:pPr>
        <w:pStyle w:val="Observation"/>
        <w:numPr>
          <w:ilvl w:val="0"/>
          <w:numId w:val="21"/>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spacing w:beforeLines="0" w:before="0"/>
        <w:ind w:left="1701" w:hanging="1701"/>
        <w:textAlignment w:val="baseline"/>
      </w:pPr>
      <w:r>
        <w:t>T</w:t>
      </w:r>
      <w:r w:rsidR="005E18B8" w:rsidRPr="005E18B8">
        <w:t>here may be SPS collision between different UEs</w:t>
      </w:r>
      <w:r>
        <w:t>, and</w:t>
      </w:r>
      <w:r w:rsidRPr="00A0417E">
        <w:t xml:space="preserve"> UE</w:t>
      </w:r>
      <w:r>
        <w:t>s</w:t>
      </w:r>
      <w:r w:rsidRPr="00A0417E">
        <w:t xml:space="preserve"> cannot be aware of the UL SPS collision</w:t>
      </w:r>
      <w:r>
        <w:t>.</w:t>
      </w:r>
    </w:p>
    <w:p w14:paraId="32B9CE57" w14:textId="1DF4609B" w:rsidR="00A0417E" w:rsidRDefault="00A0417E" w:rsidP="00A0417E">
      <w:pPr>
        <w:pStyle w:val="Proposal"/>
      </w:pPr>
      <w:r>
        <w:t xml:space="preserve">In NTN TDD mode, </w:t>
      </w:r>
      <w:r w:rsidRPr="00A0417E">
        <w:t>UE is configured with a (starting) subframe id within the 8 UL NB-I</w:t>
      </w:r>
      <w:r w:rsidRPr="00A0417E">
        <w:rPr>
          <w:rFonts w:hint="eastAsia"/>
        </w:rPr>
        <w:t>o</w:t>
      </w:r>
      <w:r w:rsidRPr="00A0417E">
        <w:t xml:space="preserve">T subframes for </w:t>
      </w:r>
      <w:r>
        <w:t>all</w:t>
      </w:r>
      <w:r w:rsidRPr="00A0417E">
        <w:t xml:space="preserve"> UL SPS transmission</w:t>
      </w:r>
      <w:r>
        <w:t>s.</w:t>
      </w:r>
    </w:p>
    <w:p w14:paraId="4E76805F" w14:textId="77777777" w:rsidR="00A222FB" w:rsidRPr="00A222FB" w:rsidRDefault="00A222FB" w:rsidP="00AA542B">
      <w:pPr>
        <w:pStyle w:val="Proposal"/>
        <w:numPr>
          <w:ilvl w:val="0"/>
          <w:numId w:val="0"/>
        </w:numPr>
      </w:pPr>
    </w:p>
    <w:p w14:paraId="22068C64" w14:textId="7794D9EA" w:rsidR="00271329" w:rsidRPr="00271329" w:rsidRDefault="00271329" w:rsidP="00271329">
      <w:pPr>
        <w:pStyle w:val="Proposal"/>
        <w:numPr>
          <w:ilvl w:val="0"/>
          <w:numId w:val="0"/>
        </w:numPr>
        <w:ind w:left="1701" w:hanging="1701"/>
        <w:rPr>
          <w:b w:val="0"/>
        </w:rPr>
      </w:pPr>
      <w:r w:rsidRPr="00271329">
        <w:rPr>
          <w:b w:val="0"/>
        </w:rPr>
        <w:t>In TS36.321, a note on scheduling restriction is given as follow.</w:t>
      </w:r>
    </w:p>
    <w:tbl>
      <w:tblPr>
        <w:tblStyle w:val="aff9"/>
        <w:tblW w:w="0" w:type="auto"/>
        <w:tblLook w:val="04A0" w:firstRow="1" w:lastRow="0" w:firstColumn="1" w:lastColumn="0" w:noHBand="0" w:noVBand="1"/>
      </w:tblPr>
      <w:tblGrid>
        <w:gridCol w:w="9629"/>
      </w:tblGrid>
      <w:tr w:rsidR="00271329" w14:paraId="0104DC74" w14:textId="77777777" w:rsidTr="00271329">
        <w:tc>
          <w:tcPr>
            <w:tcW w:w="9629" w:type="dxa"/>
          </w:tcPr>
          <w:p w14:paraId="7E89A17B" w14:textId="6903617E" w:rsidR="00271329" w:rsidRPr="00271329" w:rsidRDefault="00271329" w:rsidP="00271329">
            <w:pPr>
              <w:pStyle w:val="NO"/>
            </w:pPr>
            <w:r w:rsidRPr="00181D0E">
              <w:rPr>
                <w:lang w:eastAsia="ko-KR"/>
              </w:rPr>
              <w:t>NOTE 4:</w:t>
            </w:r>
            <w:r w:rsidRPr="00181D0E">
              <w:rPr>
                <w:lang w:eastAsia="ko-KR"/>
              </w:rPr>
              <w:tab/>
              <w:t>For NB-IoT, for operation in FDD mode, and for operation in TDD mode</w:t>
            </w:r>
            <w:r w:rsidRPr="00181D0E">
              <w:t xml:space="preserve"> </w:t>
            </w:r>
            <w:r w:rsidRPr="00181D0E">
              <w:rPr>
                <w:lang w:eastAsia="ko-KR"/>
              </w:rPr>
              <w:t xml:space="preserve">with a single HARQ process when the associated HARQ RTT timer has been started, DL and UL transmissions will not be scheduled in parallel, i.e. </w:t>
            </w:r>
            <w:r w:rsidRPr="00830DC2">
              <w:rPr>
                <w:highlight w:val="yellow"/>
                <w:lang w:eastAsia="ko-KR"/>
              </w:rPr>
              <w:t>if a DL transmission has been scheduled an UL transmission will not be scheduled until HARQ RTT Timer of the DL HARQ process has expired (and vice versa)</w:t>
            </w:r>
            <w:r w:rsidRPr="00181D0E">
              <w:rPr>
                <w:lang w:eastAsia="ko-KR"/>
              </w:rPr>
              <w:t>.</w:t>
            </w:r>
          </w:p>
        </w:tc>
      </w:tr>
    </w:tbl>
    <w:p w14:paraId="2478E3D0" w14:textId="76E7CA5B" w:rsidR="00271329" w:rsidRDefault="00830DC2" w:rsidP="00271329">
      <w:pPr>
        <w:pStyle w:val="Proposal"/>
        <w:numPr>
          <w:ilvl w:val="0"/>
          <w:numId w:val="0"/>
        </w:numPr>
        <w:rPr>
          <w:b w:val="0"/>
        </w:rPr>
      </w:pPr>
      <w:r>
        <w:rPr>
          <w:b w:val="0"/>
        </w:rPr>
        <w:t xml:space="preserve">According to the above note, for </w:t>
      </w:r>
      <w:r>
        <w:rPr>
          <w:rFonts w:hint="eastAsia"/>
          <w:b w:val="0"/>
        </w:rPr>
        <w:t>a</w:t>
      </w:r>
      <w:r>
        <w:rPr>
          <w:b w:val="0"/>
        </w:rPr>
        <w:t xml:space="preserve"> NB-I</w:t>
      </w:r>
      <w:r>
        <w:rPr>
          <w:rFonts w:hint="eastAsia"/>
          <w:b w:val="0"/>
        </w:rPr>
        <w:t>o</w:t>
      </w:r>
      <w:r>
        <w:rPr>
          <w:b w:val="0"/>
        </w:rPr>
        <w:t xml:space="preserve">T UE configured with a single HARQ process, the UE is not required to monitor PDCCH </w:t>
      </w:r>
      <w:r w:rsidR="005235F4">
        <w:rPr>
          <w:b w:val="0"/>
        </w:rPr>
        <w:t>since a DL or UL transmission has been scheduled</w:t>
      </w:r>
      <w:r>
        <w:rPr>
          <w:b w:val="0"/>
        </w:rPr>
        <w:t xml:space="preserve">. This has </w:t>
      </w:r>
      <w:r w:rsidR="00873DA6">
        <w:rPr>
          <w:b w:val="0"/>
        </w:rPr>
        <w:t xml:space="preserve">also </w:t>
      </w:r>
      <w:r>
        <w:rPr>
          <w:b w:val="0"/>
        </w:rPr>
        <w:t xml:space="preserve">been reflected in the start condition of </w:t>
      </w:r>
      <w:r w:rsidRPr="00830DC2">
        <w:rPr>
          <w:b w:val="0"/>
        </w:rPr>
        <w:t>onDurationTimer</w:t>
      </w:r>
      <w:r>
        <w:rPr>
          <w:b w:val="0"/>
        </w:rPr>
        <w:t xml:space="preserve"> as highlighted below.</w:t>
      </w:r>
    </w:p>
    <w:tbl>
      <w:tblPr>
        <w:tblStyle w:val="aff9"/>
        <w:tblW w:w="0" w:type="auto"/>
        <w:tblLook w:val="04A0" w:firstRow="1" w:lastRow="0" w:firstColumn="1" w:lastColumn="0" w:noHBand="0" w:noVBand="1"/>
      </w:tblPr>
      <w:tblGrid>
        <w:gridCol w:w="9629"/>
      </w:tblGrid>
      <w:tr w:rsidR="00830DC2" w14:paraId="3AA96EA2" w14:textId="77777777" w:rsidTr="00830DC2">
        <w:tc>
          <w:tcPr>
            <w:tcW w:w="9629" w:type="dxa"/>
          </w:tcPr>
          <w:p w14:paraId="11061D96" w14:textId="77777777" w:rsidR="00830DC2" w:rsidRPr="00181D0E" w:rsidRDefault="00830DC2" w:rsidP="00830DC2">
            <w:pPr>
              <w:pStyle w:val="B1"/>
              <w:rPr>
                <w:noProof/>
              </w:rPr>
            </w:pPr>
            <w:r w:rsidRPr="00181D0E">
              <w:rPr>
                <w:noProof/>
              </w:rPr>
              <w:t>-</w:t>
            </w:r>
            <w:r w:rsidRPr="00181D0E">
              <w:rPr>
                <w:noProof/>
              </w:rPr>
              <w:tab/>
              <w:t>if the Long DRX Cycle is used and [(SFN * 10) + subframe number] modulo (</w:t>
            </w:r>
            <w:r w:rsidRPr="00181D0E">
              <w:rPr>
                <w:i/>
                <w:iCs/>
                <w:noProof/>
                <w:lang w:eastAsia="zh-TW"/>
              </w:rPr>
              <w:t>longDRX-Cycle</w:t>
            </w:r>
            <w:r w:rsidRPr="00181D0E">
              <w:rPr>
                <w:noProof/>
              </w:rPr>
              <w:t xml:space="preserve">) = </w:t>
            </w:r>
            <w:r w:rsidRPr="00181D0E">
              <w:rPr>
                <w:i/>
                <w:iCs/>
                <w:noProof/>
              </w:rPr>
              <w:t>drxStartOffset</w:t>
            </w:r>
            <w:r w:rsidRPr="00181D0E">
              <w:rPr>
                <w:noProof/>
              </w:rPr>
              <w:t>:</w:t>
            </w:r>
          </w:p>
          <w:p w14:paraId="32A9CA13" w14:textId="77777777" w:rsidR="00830DC2" w:rsidRPr="00181D0E" w:rsidRDefault="00830DC2" w:rsidP="00830DC2">
            <w:pPr>
              <w:pStyle w:val="B2"/>
              <w:rPr>
                <w:noProof/>
              </w:rPr>
            </w:pPr>
            <w:r w:rsidRPr="00181D0E">
              <w:rPr>
                <w:noProof/>
              </w:rPr>
              <w:t>-</w:t>
            </w:r>
            <w:r w:rsidRPr="00181D0E">
              <w:rPr>
                <w:noProof/>
              </w:rPr>
              <w:tab/>
              <w:t>if NB-IoT:</w:t>
            </w:r>
          </w:p>
          <w:p w14:paraId="36BA18CA" w14:textId="77777777" w:rsidR="00830DC2" w:rsidRPr="00181D0E" w:rsidRDefault="00830DC2" w:rsidP="00830DC2">
            <w:pPr>
              <w:pStyle w:val="B3"/>
              <w:rPr>
                <w:noProof/>
              </w:rPr>
            </w:pPr>
            <w:r w:rsidRPr="00181D0E">
              <w:rPr>
                <w:noProof/>
              </w:rPr>
              <w:t>-</w:t>
            </w:r>
            <w:r w:rsidRPr="00181D0E">
              <w:rPr>
                <w:noProof/>
              </w:rPr>
              <w:tab/>
            </w:r>
            <w:r w:rsidRPr="00830DC2">
              <w:rPr>
                <w:noProof/>
                <w:highlight w:val="yellow"/>
              </w:rPr>
              <w:t xml:space="preserve">if there is at least one HARQ process for which neither HARQ RTT Timer nor UL HARQ RTT Timer is running, start </w:t>
            </w:r>
            <w:r w:rsidRPr="00830DC2">
              <w:rPr>
                <w:i/>
                <w:noProof/>
                <w:highlight w:val="yellow"/>
              </w:rPr>
              <w:t>onDurationTimer</w:t>
            </w:r>
            <w:r w:rsidRPr="00830DC2">
              <w:rPr>
                <w:noProof/>
                <w:highlight w:val="yellow"/>
              </w:rPr>
              <w:t>.</w:t>
            </w:r>
          </w:p>
          <w:p w14:paraId="1C55C7B7" w14:textId="77777777" w:rsidR="00830DC2" w:rsidRPr="00181D0E" w:rsidRDefault="00830DC2" w:rsidP="00830DC2">
            <w:pPr>
              <w:pStyle w:val="B2"/>
              <w:rPr>
                <w:noProof/>
              </w:rPr>
            </w:pPr>
            <w:r w:rsidRPr="00181D0E">
              <w:rPr>
                <w:noProof/>
              </w:rPr>
              <w:t>-</w:t>
            </w:r>
            <w:r w:rsidRPr="00181D0E">
              <w:rPr>
                <w:noProof/>
              </w:rPr>
              <w:tab/>
              <w:t>else:</w:t>
            </w:r>
          </w:p>
          <w:p w14:paraId="20A6D0EA" w14:textId="171D05A1" w:rsidR="00830DC2" w:rsidRPr="004E2608" w:rsidRDefault="00830DC2" w:rsidP="004E2608">
            <w:pPr>
              <w:pStyle w:val="B3"/>
              <w:rPr>
                <w:noProof/>
              </w:rPr>
            </w:pPr>
            <w:r w:rsidRPr="00181D0E">
              <w:rPr>
                <w:noProof/>
              </w:rPr>
              <w:t>-</w:t>
            </w:r>
            <w:r w:rsidRPr="00181D0E">
              <w:rPr>
                <w:noProof/>
              </w:rPr>
              <w:tab/>
              <w:t xml:space="preserve">start </w:t>
            </w:r>
            <w:r w:rsidRPr="00181D0E">
              <w:t>onDurationTimer</w:t>
            </w:r>
            <w:r w:rsidRPr="00181D0E">
              <w:rPr>
                <w:noProof/>
              </w:rPr>
              <w:t>.</w:t>
            </w:r>
          </w:p>
        </w:tc>
      </w:tr>
    </w:tbl>
    <w:p w14:paraId="7174546E" w14:textId="77777777" w:rsidR="00830DC2" w:rsidRPr="00830DC2" w:rsidRDefault="00830DC2" w:rsidP="00271329">
      <w:pPr>
        <w:pStyle w:val="Proposal"/>
        <w:numPr>
          <w:ilvl w:val="0"/>
          <w:numId w:val="0"/>
        </w:numPr>
        <w:rPr>
          <w:b w:val="0"/>
        </w:rPr>
      </w:pPr>
    </w:p>
    <w:p w14:paraId="199B46CA" w14:textId="35EA6BAB" w:rsidR="00271329" w:rsidRPr="005235F4" w:rsidRDefault="00830DC2" w:rsidP="005235F4">
      <w:pPr>
        <w:pStyle w:val="Proposal"/>
        <w:numPr>
          <w:ilvl w:val="0"/>
          <w:numId w:val="0"/>
        </w:numPr>
        <w:rPr>
          <w:b w:val="0"/>
        </w:rPr>
      </w:pPr>
      <w:r w:rsidRPr="005235F4">
        <w:rPr>
          <w:b w:val="0"/>
        </w:rPr>
        <w:t>In NTN TDD mode,</w:t>
      </w:r>
      <w:r w:rsidR="005235F4" w:rsidRPr="005235F4">
        <w:rPr>
          <w:b w:val="0"/>
        </w:rPr>
        <w:t xml:space="preserve"> </w:t>
      </w:r>
      <w:r w:rsidR="006706EF">
        <w:rPr>
          <w:b w:val="0"/>
        </w:rPr>
        <w:t>for</w:t>
      </w:r>
      <w:r w:rsidR="005235F4" w:rsidRPr="005235F4">
        <w:rPr>
          <w:b w:val="0"/>
        </w:rPr>
        <w:t xml:space="preserve"> UL or DL transmission with repetition, if </w:t>
      </w:r>
      <w:r w:rsidR="006706EF">
        <w:rPr>
          <w:b w:val="0"/>
        </w:rPr>
        <w:t>transmission duration</w:t>
      </w:r>
      <w:r w:rsidR="005235F4" w:rsidRPr="005235F4">
        <w:rPr>
          <w:b w:val="0"/>
        </w:rPr>
        <w:t xml:space="preserve"> is l</w:t>
      </w:r>
      <w:r w:rsidR="006706EF">
        <w:rPr>
          <w:b w:val="0"/>
        </w:rPr>
        <w:t>onger than 8ms</w:t>
      </w:r>
      <w:r w:rsidR="005235F4" w:rsidRPr="005235F4">
        <w:rPr>
          <w:b w:val="0"/>
        </w:rPr>
        <w:t>, the transmission may be segmented.</w:t>
      </w:r>
      <w:r w:rsidR="005235F4">
        <w:rPr>
          <w:b w:val="0"/>
        </w:rPr>
        <w:t xml:space="preserve"> For UL </w:t>
      </w:r>
      <w:r w:rsidR="002C26EC" w:rsidRPr="005235F4">
        <w:rPr>
          <w:b w:val="0"/>
        </w:rPr>
        <w:t>segmented</w:t>
      </w:r>
      <w:r w:rsidR="002C26EC">
        <w:rPr>
          <w:b w:val="0"/>
        </w:rPr>
        <w:t xml:space="preserve"> </w:t>
      </w:r>
      <w:r w:rsidR="005235F4">
        <w:rPr>
          <w:b w:val="0"/>
        </w:rPr>
        <w:t>transmission, there will be DL NB-I</w:t>
      </w:r>
      <w:r w:rsidR="005235F4">
        <w:rPr>
          <w:rFonts w:hint="eastAsia"/>
          <w:b w:val="0"/>
        </w:rPr>
        <w:t>o</w:t>
      </w:r>
      <w:r w:rsidR="005235F4">
        <w:rPr>
          <w:b w:val="0"/>
        </w:rPr>
        <w:t xml:space="preserve">T subframes located between </w:t>
      </w:r>
      <w:r w:rsidR="00CD17F8" w:rsidRPr="00CD17F8">
        <w:rPr>
          <w:b w:val="0"/>
        </w:rPr>
        <w:t>successive</w:t>
      </w:r>
      <w:r w:rsidR="00CD17F8">
        <w:rPr>
          <w:b w:val="0"/>
        </w:rPr>
        <w:t xml:space="preserve"> </w:t>
      </w:r>
      <w:r w:rsidR="005235F4">
        <w:rPr>
          <w:b w:val="0"/>
        </w:rPr>
        <w:t>UL segmented transmission</w:t>
      </w:r>
      <w:r w:rsidR="00CD17F8">
        <w:rPr>
          <w:b w:val="0"/>
        </w:rPr>
        <w:t xml:space="preserve">s. Following the principle in the above note, UE should not monitor PDCCH during </w:t>
      </w:r>
      <w:r w:rsidR="004E2608">
        <w:rPr>
          <w:b w:val="0"/>
        </w:rPr>
        <w:t xml:space="preserve">these </w:t>
      </w:r>
      <w:r w:rsidR="00CD17F8">
        <w:rPr>
          <w:b w:val="0"/>
        </w:rPr>
        <w:t>DL NB-I</w:t>
      </w:r>
      <w:r w:rsidR="00CD17F8">
        <w:rPr>
          <w:rFonts w:hint="eastAsia"/>
          <w:b w:val="0"/>
        </w:rPr>
        <w:t>o</w:t>
      </w:r>
      <w:r w:rsidR="00CD17F8">
        <w:rPr>
          <w:b w:val="0"/>
        </w:rPr>
        <w:t>T subframes</w:t>
      </w:r>
      <w:r w:rsidR="004E2608">
        <w:rPr>
          <w:b w:val="0"/>
        </w:rPr>
        <w:t xml:space="preserve">, and this should be considered as an additional start condition </w:t>
      </w:r>
      <w:r w:rsidR="00873DA6">
        <w:rPr>
          <w:b w:val="0"/>
        </w:rPr>
        <w:t xml:space="preserve">restriction </w:t>
      </w:r>
      <w:r w:rsidR="004E2608">
        <w:rPr>
          <w:b w:val="0"/>
        </w:rPr>
        <w:t xml:space="preserve">for </w:t>
      </w:r>
      <w:r w:rsidR="004E2608" w:rsidRPr="00830DC2">
        <w:rPr>
          <w:b w:val="0"/>
        </w:rPr>
        <w:t>onDurationTimer</w:t>
      </w:r>
    </w:p>
    <w:p w14:paraId="26CB1D8E" w14:textId="73F88C65" w:rsidR="00BB01EA" w:rsidRPr="00873DA6" w:rsidRDefault="00484CB2" w:rsidP="00873DA6">
      <w:pPr>
        <w:pStyle w:val="Proposal"/>
      </w:pPr>
      <w:r>
        <w:t xml:space="preserve">In NTN TDD mode, </w:t>
      </w:r>
      <w:r w:rsidR="007C5D37">
        <w:t xml:space="preserve">UE doesn’t start </w:t>
      </w:r>
      <w:r w:rsidR="007C5D37" w:rsidRPr="007C5D37">
        <w:t xml:space="preserve">onDurationTimer within the UL </w:t>
      </w:r>
      <w:r w:rsidR="004E2608" w:rsidRPr="004E2608">
        <w:t xml:space="preserve">segmented </w:t>
      </w:r>
      <w:r w:rsidR="007C5D37" w:rsidRPr="007C5D37">
        <w:t>transmission gap</w:t>
      </w:r>
      <w:r w:rsidR="008F3544" w:rsidRPr="007C5D37">
        <w:t>.</w:t>
      </w:r>
    </w:p>
    <w:p w14:paraId="2E58CC51" w14:textId="77777777" w:rsidR="00FB3C9D" w:rsidRDefault="003D1DDD" w:rsidP="00461332">
      <w:pPr>
        <w:pStyle w:val="1"/>
        <w:numPr>
          <w:ilvl w:val="0"/>
          <w:numId w:val="15"/>
        </w:numPr>
      </w:pPr>
      <w:bookmarkStart w:id="5" w:name="_Toc131757160"/>
      <w:r>
        <w:t>Conclusion</w:t>
      </w:r>
      <w:bookmarkEnd w:id="5"/>
    </w:p>
    <w:p w14:paraId="04A5609E" w14:textId="15389801" w:rsidR="00942605" w:rsidRPr="00F33308" w:rsidRDefault="00013646">
      <w:r>
        <w:t>Based on the discussion we propose the following:</w:t>
      </w:r>
    </w:p>
    <w:p w14:paraId="4773961A" w14:textId="77777777" w:rsidR="00A0417E" w:rsidRDefault="00A0417E" w:rsidP="00883150">
      <w:pPr>
        <w:pStyle w:val="Proposal"/>
        <w:numPr>
          <w:ilvl w:val="0"/>
          <w:numId w:val="32"/>
        </w:numPr>
      </w:pPr>
      <w:bookmarkStart w:id="6" w:name="_In-sequence_SDU_delivery"/>
      <w:bookmarkEnd w:id="6"/>
      <w:r>
        <w:t xml:space="preserve">In NTN TDD mode, </w:t>
      </w:r>
      <w:r w:rsidRPr="00A0417E">
        <w:t>UE is configured with a (starting) subframe id within the 8 UL NB-I</w:t>
      </w:r>
      <w:r w:rsidRPr="00A0417E">
        <w:rPr>
          <w:rFonts w:hint="eastAsia"/>
        </w:rPr>
        <w:t>o</w:t>
      </w:r>
      <w:r w:rsidRPr="00A0417E">
        <w:t xml:space="preserve">T subframes for </w:t>
      </w:r>
      <w:r>
        <w:t>all</w:t>
      </w:r>
      <w:r w:rsidRPr="00A0417E">
        <w:t xml:space="preserve"> UL SPS transmission</w:t>
      </w:r>
      <w:r>
        <w:t>s.</w:t>
      </w:r>
    </w:p>
    <w:p w14:paraId="44EB0941" w14:textId="6065323B" w:rsidR="00535503" w:rsidRPr="000C6477" w:rsidRDefault="00A0417E" w:rsidP="00A0417E">
      <w:pPr>
        <w:pStyle w:val="Proposal"/>
      </w:pPr>
      <w:r>
        <w:t xml:space="preserve">In NTN TDD mode, UE doesn’t start </w:t>
      </w:r>
      <w:r w:rsidRPr="007C5D37">
        <w:t xml:space="preserve">onDurationTimer within the UL </w:t>
      </w:r>
      <w:r w:rsidRPr="004E2608">
        <w:t xml:space="preserve">segmented </w:t>
      </w:r>
      <w:r w:rsidRPr="007C5D37">
        <w:t>transmission gap.</w:t>
      </w:r>
    </w:p>
    <w:p w14:paraId="07CEE24D" w14:textId="2BB52394" w:rsidR="00535503" w:rsidRDefault="00535503" w:rsidP="00461332">
      <w:pPr>
        <w:pStyle w:val="1"/>
        <w:numPr>
          <w:ilvl w:val="0"/>
          <w:numId w:val="15"/>
        </w:numPr>
      </w:pPr>
      <w:r>
        <w:t>Reference</w:t>
      </w:r>
    </w:p>
    <w:p w14:paraId="29D5FA78" w14:textId="69CE8FCF" w:rsidR="004173B6" w:rsidRPr="00535503" w:rsidRDefault="00535503" w:rsidP="00024034">
      <w:pPr>
        <w:pBdr>
          <w:top w:val="none" w:sz="0" w:space="0" w:color="auto"/>
          <w:left w:val="none" w:sz="0" w:space="0" w:color="auto"/>
          <w:bottom w:val="none" w:sz="0" w:space="0" w:color="auto"/>
          <w:right w:val="none" w:sz="0" w:space="0" w:color="auto"/>
          <w:between w:val="none" w:sz="0" w:space="0" w:color="auto"/>
        </w:pBdr>
        <w:spacing w:before="120" w:after="0"/>
        <w:jc w:val="left"/>
        <w:rPr>
          <w:rFonts w:eastAsiaTheme="minorEastAsia"/>
        </w:rPr>
      </w:pPr>
      <w:r>
        <w:rPr>
          <w:rFonts w:eastAsiaTheme="minorEastAsia" w:hint="eastAsia"/>
        </w:rPr>
        <w:t>[</w:t>
      </w:r>
      <w:r>
        <w:rPr>
          <w:rFonts w:eastAsiaTheme="minorEastAsia"/>
        </w:rPr>
        <w:t xml:space="preserve">1] </w:t>
      </w:r>
      <w:r w:rsidRPr="00535503">
        <w:rPr>
          <w:rFonts w:eastAsiaTheme="minorEastAsia"/>
        </w:rPr>
        <w:t>RP-243293, Revised WID on introduction of IoT-NTN TDD mode</w:t>
      </w:r>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DC1F" w14:textId="77777777" w:rsidR="00045938" w:rsidRDefault="00045938">
      <w:pPr>
        <w:spacing w:after="0"/>
      </w:pPr>
      <w:r>
        <w:separator/>
      </w:r>
    </w:p>
  </w:endnote>
  <w:endnote w:type="continuationSeparator" w:id="0">
    <w:p w14:paraId="5D367A11" w14:textId="77777777" w:rsidR="00045938" w:rsidRDefault="00045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175A5" w14:textId="77777777" w:rsidR="00045938" w:rsidRDefault="00045938">
      <w:pPr>
        <w:spacing w:after="0"/>
      </w:pPr>
      <w:r>
        <w:separator/>
      </w:r>
    </w:p>
  </w:footnote>
  <w:footnote w:type="continuationSeparator" w:id="0">
    <w:p w14:paraId="002D784B" w14:textId="77777777" w:rsidR="00045938" w:rsidRDefault="000459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DB6886"/>
    <w:multiLevelType w:val="hybridMultilevel"/>
    <w:tmpl w:val="586EEB3C"/>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A92AB2"/>
    <w:multiLevelType w:val="hybridMultilevel"/>
    <w:tmpl w:val="8C6CA0E2"/>
    <w:lvl w:ilvl="0" w:tplc="C250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357A02"/>
    <w:multiLevelType w:val="hybridMultilevel"/>
    <w:tmpl w:val="E0C21E64"/>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3A66A0"/>
    <w:multiLevelType w:val="hybridMultilevel"/>
    <w:tmpl w:val="9FAAC792"/>
    <w:lvl w:ilvl="0" w:tplc="6FCC3B47">
      <w:start w:val="1"/>
      <w:numFmt w:val="bullet"/>
      <w:lvlText w:val="·"/>
      <w:lvlJc w:val="left"/>
      <w:pPr>
        <w:ind w:left="420" w:hanging="420"/>
      </w:pPr>
      <w:rPr>
        <w:rFonts w:ascii="仿宋" w:eastAsia="仿宋" w:hAnsi="仿宋" w:cs="仿宋"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6"/>
  </w:num>
  <w:num w:numId="4">
    <w:abstractNumId w:val="19"/>
  </w:num>
  <w:num w:numId="5">
    <w:abstractNumId w:val="8"/>
  </w:num>
  <w:num w:numId="6">
    <w:abstractNumId w:val="7"/>
  </w:num>
  <w:num w:numId="7">
    <w:abstractNumId w:val="17"/>
  </w:num>
  <w:num w:numId="8">
    <w:abstractNumId w:val="21"/>
  </w:num>
  <w:num w:numId="9">
    <w:abstractNumId w:val="16"/>
  </w:num>
  <w:num w:numId="10">
    <w:abstractNumId w:val="10"/>
  </w:num>
  <w:num w:numId="11">
    <w:abstractNumId w:val="5"/>
  </w:num>
  <w:num w:numId="12">
    <w:abstractNumId w:val="9"/>
  </w:num>
  <w:num w:numId="13">
    <w:abstractNumId w:val="4"/>
  </w:num>
  <w:num w:numId="14">
    <w:abstractNumId w:val="18"/>
  </w:num>
  <w:num w:numId="1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2"/>
  </w:num>
  <w:num w:numId="18">
    <w:abstractNumId w:val="14"/>
  </w:num>
  <w:num w:numId="19">
    <w:abstractNumId w:val="2"/>
  </w:num>
  <w:num w:numId="20">
    <w:abstractNumId w:val="1"/>
  </w:num>
  <w:num w:numId="21">
    <w:abstractNumId w:val="15"/>
  </w:num>
  <w:num w:numId="22">
    <w:abstractNumId w:val="11"/>
  </w:num>
  <w:num w:numId="23">
    <w:abstractNumId w:val="20"/>
  </w:num>
  <w:num w:numId="24">
    <w:abstractNumId w:val="5"/>
    <w:lvlOverride w:ilvl="0">
      <w:startOverride w:val="1"/>
    </w:lvlOverride>
  </w:num>
  <w:num w:numId="25">
    <w:abstractNumId w:val="5"/>
  </w:num>
  <w:num w:numId="26">
    <w:abstractNumId w:val="12"/>
  </w:num>
  <w:num w:numId="27">
    <w:abstractNumId w:val="3"/>
  </w:num>
  <w:num w:numId="28">
    <w:abstractNumId w:val="5"/>
  </w:num>
  <w:num w:numId="29">
    <w:abstractNumId w:val="5"/>
  </w:num>
  <w:num w:numId="30">
    <w:abstractNumId w:val="5"/>
  </w:num>
  <w:num w:numId="31">
    <w:abstractNumId w:val="5"/>
    <w:lvlOverride w:ilvl="0">
      <w:startOverride w:val="1"/>
    </w:lvlOverride>
  </w:num>
  <w:num w:numId="32">
    <w:abstractNumId w:val="5"/>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3646"/>
    <w:rsid w:val="00015740"/>
    <w:rsid w:val="00015DBC"/>
    <w:rsid w:val="00017121"/>
    <w:rsid w:val="00022B9C"/>
    <w:rsid w:val="00023308"/>
    <w:rsid w:val="00024034"/>
    <w:rsid w:val="00025DF1"/>
    <w:rsid w:val="000267B2"/>
    <w:rsid w:val="000301AA"/>
    <w:rsid w:val="000301BE"/>
    <w:rsid w:val="00034101"/>
    <w:rsid w:val="00034B3C"/>
    <w:rsid w:val="000369EE"/>
    <w:rsid w:val="00041594"/>
    <w:rsid w:val="0004262D"/>
    <w:rsid w:val="00044D3C"/>
    <w:rsid w:val="00045938"/>
    <w:rsid w:val="00046CFA"/>
    <w:rsid w:val="00047FB5"/>
    <w:rsid w:val="00050545"/>
    <w:rsid w:val="00053A22"/>
    <w:rsid w:val="00056A7A"/>
    <w:rsid w:val="00056FA0"/>
    <w:rsid w:val="000571A8"/>
    <w:rsid w:val="000576CF"/>
    <w:rsid w:val="00057B8E"/>
    <w:rsid w:val="00057BD3"/>
    <w:rsid w:val="00060567"/>
    <w:rsid w:val="00061D42"/>
    <w:rsid w:val="00064493"/>
    <w:rsid w:val="00066995"/>
    <w:rsid w:val="00070353"/>
    <w:rsid w:val="000711BB"/>
    <w:rsid w:val="00074B10"/>
    <w:rsid w:val="0007764C"/>
    <w:rsid w:val="000818B8"/>
    <w:rsid w:val="000818F4"/>
    <w:rsid w:val="00081EC4"/>
    <w:rsid w:val="00082BAD"/>
    <w:rsid w:val="00084466"/>
    <w:rsid w:val="00085720"/>
    <w:rsid w:val="00090601"/>
    <w:rsid w:val="00093756"/>
    <w:rsid w:val="00094AB9"/>
    <w:rsid w:val="000953B6"/>
    <w:rsid w:val="00095975"/>
    <w:rsid w:val="00095EDC"/>
    <w:rsid w:val="00097B99"/>
    <w:rsid w:val="000A0033"/>
    <w:rsid w:val="000A045B"/>
    <w:rsid w:val="000A1C5D"/>
    <w:rsid w:val="000A221D"/>
    <w:rsid w:val="000A4B4F"/>
    <w:rsid w:val="000A68FA"/>
    <w:rsid w:val="000A6956"/>
    <w:rsid w:val="000A6A9A"/>
    <w:rsid w:val="000A786B"/>
    <w:rsid w:val="000A7F4C"/>
    <w:rsid w:val="000B0CE0"/>
    <w:rsid w:val="000B162C"/>
    <w:rsid w:val="000B2A4F"/>
    <w:rsid w:val="000B4631"/>
    <w:rsid w:val="000B5469"/>
    <w:rsid w:val="000B7832"/>
    <w:rsid w:val="000B78FB"/>
    <w:rsid w:val="000B79DB"/>
    <w:rsid w:val="000B7A5D"/>
    <w:rsid w:val="000C0F85"/>
    <w:rsid w:val="000C1310"/>
    <w:rsid w:val="000C5F3C"/>
    <w:rsid w:val="000C6477"/>
    <w:rsid w:val="000C6CC3"/>
    <w:rsid w:val="000E03C4"/>
    <w:rsid w:val="000E0E41"/>
    <w:rsid w:val="000E15AB"/>
    <w:rsid w:val="000F0DE1"/>
    <w:rsid w:val="000F14EE"/>
    <w:rsid w:val="000F1B5F"/>
    <w:rsid w:val="000F1E7D"/>
    <w:rsid w:val="000F2E9B"/>
    <w:rsid w:val="000F38DD"/>
    <w:rsid w:val="000F5021"/>
    <w:rsid w:val="000F5134"/>
    <w:rsid w:val="000F5CC4"/>
    <w:rsid w:val="000F5DA6"/>
    <w:rsid w:val="000F7D77"/>
    <w:rsid w:val="00107335"/>
    <w:rsid w:val="00107715"/>
    <w:rsid w:val="00111FD9"/>
    <w:rsid w:val="00113F80"/>
    <w:rsid w:val="001154C9"/>
    <w:rsid w:val="00115CFC"/>
    <w:rsid w:val="0011653C"/>
    <w:rsid w:val="001202CB"/>
    <w:rsid w:val="00120D0C"/>
    <w:rsid w:val="001222C2"/>
    <w:rsid w:val="00123DA6"/>
    <w:rsid w:val="00124C77"/>
    <w:rsid w:val="00125123"/>
    <w:rsid w:val="0013348E"/>
    <w:rsid w:val="00133F0B"/>
    <w:rsid w:val="001343B0"/>
    <w:rsid w:val="001349BC"/>
    <w:rsid w:val="00136D1F"/>
    <w:rsid w:val="00141B05"/>
    <w:rsid w:val="0014408A"/>
    <w:rsid w:val="001444DC"/>
    <w:rsid w:val="001446E7"/>
    <w:rsid w:val="00146D5C"/>
    <w:rsid w:val="00146E5B"/>
    <w:rsid w:val="00150AF6"/>
    <w:rsid w:val="00151826"/>
    <w:rsid w:val="00151DC1"/>
    <w:rsid w:val="00154CDE"/>
    <w:rsid w:val="00154F7E"/>
    <w:rsid w:val="001551E2"/>
    <w:rsid w:val="001552FD"/>
    <w:rsid w:val="00155445"/>
    <w:rsid w:val="00155572"/>
    <w:rsid w:val="00160B0D"/>
    <w:rsid w:val="001614D8"/>
    <w:rsid w:val="001632EC"/>
    <w:rsid w:val="001663CB"/>
    <w:rsid w:val="0016729F"/>
    <w:rsid w:val="001701D2"/>
    <w:rsid w:val="00180DEC"/>
    <w:rsid w:val="0018150A"/>
    <w:rsid w:val="001833E5"/>
    <w:rsid w:val="00185E1A"/>
    <w:rsid w:val="00185F43"/>
    <w:rsid w:val="001933B5"/>
    <w:rsid w:val="001A126F"/>
    <w:rsid w:val="001A4B2D"/>
    <w:rsid w:val="001A4E19"/>
    <w:rsid w:val="001A50CB"/>
    <w:rsid w:val="001B031F"/>
    <w:rsid w:val="001B3D23"/>
    <w:rsid w:val="001B490B"/>
    <w:rsid w:val="001B64DA"/>
    <w:rsid w:val="001B77AC"/>
    <w:rsid w:val="001B7D1B"/>
    <w:rsid w:val="001C0F3F"/>
    <w:rsid w:val="001C1A4E"/>
    <w:rsid w:val="001C2ED3"/>
    <w:rsid w:val="001C3555"/>
    <w:rsid w:val="001C6E79"/>
    <w:rsid w:val="001D10E1"/>
    <w:rsid w:val="001D1A2F"/>
    <w:rsid w:val="001D3066"/>
    <w:rsid w:val="001D32BD"/>
    <w:rsid w:val="001D4078"/>
    <w:rsid w:val="001D7235"/>
    <w:rsid w:val="001D7CF5"/>
    <w:rsid w:val="001E069C"/>
    <w:rsid w:val="001E237B"/>
    <w:rsid w:val="001E2735"/>
    <w:rsid w:val="001F02BF"/>
    <w:rsid w:val="001F217C"/>
    <w:rsid w:val="001F3D00"/>
    <w:rsid w:val="001F6736"/>
    <w:rsid w:val="001F7B83"/>
    <w:rsid w:val="002034C4"/>
    <w:rsid w:val="002042C1"/>
    <w:rsid w:val="00205D42"/>
    <w:rsid w:val="00206961"/>
    <w:rsid w:val="002070B3"/>
    <w:rsid w:val="00207D39"/>
    <w:rsid w:val="00210583"/>
    <w:rsid w:val="002110D8"/>
    <w:rsid w:val="00212650"/>
    <w:rsid w:val="002143D1"/>
    <w:rsid w:val="0021582F"/>
    <w:rsid w:val="00216837"/>
    <w:rsid w:val="002203A2"/>
    <w:rsid w:val="0022081A"/>
    <w:rsid w:val="002226D1"/>
    <w:rsid w:val="00222A1B"/>
    <w:rsid w:val="00222A7A"/>
    <w:rsid w:val="00223441"/>
    <w:rsid w:val="00224EDE"/>
    <w:rsid w:val="00224F89"/>
    <w:rsid w:val="002269C2"/>
    <w:rsid w:val="00230435"/>
    <w:rsid w:val="0023140C"/>
    <w:rsid w:val="00231ED6"/>
    <w:rsid w:val="002322A7"/>
    <w:rsid w:val="002342B4"/>
    <w:rsid w:val="00236734"/>
    <w:rsid w:val="002373E8"/>
    <w:rsid w:val="00241D61"/>
    <w:rsid w:val="00244466"/>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6282"/>
    <w:rsid w:val="00267BDA"/>
    <w:rsid w:val="0027082C"/>
    <w:rsid w:val="00270B27"/>
    <w:rsid w:val="00270CA6"/>
    <w:rsid w:val="00271329"/>
    <w:rsid w:val="002713D3"/>
    <w:rsid w:val="00271F28"/>
    <w:rsid w:val="00273C47"/>
    <w:rsid w:val="00274116"/>
    <w:rsid w:val="002751B2"/>
    <w:rsid w:val="00275579"/>
    <w:rsid w:val="00276BFA"/>
    <w:rsid w:val="00277C14"/>
    <w:rsid w:val="00283C1B"/>
    <w:rsid w:val="00283CD4"/>
    <w:rsid w:val="00284194"/>
    <w:rsid w:val="002841F1"/>
    <w:rsid w:val="00284A26"/>
    <w:rsid w:val="00287175"/>
    <w:rsid w:val="00294F36"/>
    <w:rsid w:val="00295928"/>
    <w:rsid w:val="00297F4E"/>
    <w:rsid w:val="002A0222"/>
    <w:rsid w:val="002A06C1"/>
    <w:rsid w:val="002A070D"/>
    <w:rsid w:val="002A2EC4"/>
    <w:rsid w:val="002A6597"/>
    <w:rsid w:val="002A71DE"/>
    <w:rsid w:val="002A72F4"/>
    <w:rsid w:val="002A7B3F"/>
    <w:rsid w:val="002B104F"/>
    <w:rsid w:val="002B1C46"/>
    <w:rsid w:val="002B31C3"/>
    <w:rsid w:val="002B6921"/>
    <w:rsid w:val="002C043C"/>
    <w:rsid w:val="002C26EC"/>
    <w:rsid w:val="002C278D"/>
    <w:rsid w:val="002C6202"/>
    <w:rsid w:val="002C623F"/>
    <w:rsid w:val="002C6CD3"/>
    <w:rsid w:val="002C75E9"/>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64A"/>
    <w:rsid w:val="002F28AB"/>
    <w:rsid w:val="002F62AF"/>
    <w:rsid w:val="002F6B1B"/>
    <w:rsid w:val="00300D99"/>
    <w:rsid w:val="0030200E"/>
    <w:rsid w:val="0030624E"/>
    <w:rsid w:val="00306EDF"/>
    <w:rsid w:val="00307EFB"/>
    <w:rsid w:val="00311126"/>
    <w:rsid w:val="003134B3"/>
    <w:rsid w:val="00313985"/>
    <w:rsid w:val="003200FE"/>
    <w:rsid w:val="00320928"/>
    <w:rsid w:val="00322B4A"/>
    <w:rsid w:val="00325BFC"/>
    <w:rsid w:val="00326F53"/>
    <w:rsid w:val="00327786"/>
    <w:rsid w:val="003300F0"/>
    <w:rsid w:val="00330346"/>
    <w:rsid w:val="00333F69"/>
    <w:rsid w:val="00336AE4"/>
    <w:rsid w:val="00340AC9"/>
    <w:rsid w:val="00340AEA"/>
    <w:rsid w:val="0034168D"/>
    <w:rsid w:val="00342999"/>
    <w:rsid w:val="00343E39"/>
    <w:rsid w:val="0035075D"/>
    <w:rsid w:val="00350F10"/>
    <w:rsid w:val="00353CD9"/>
    <w:rsid w:val="00356377"/>
    <w:rsid w:val="0035683F"/>
    <w:rsid w:val="00361968"/>
    <w:rsid w:val="003631C4"/>
    <w:rsid w:val="00366D26"/>
    <w:rsid w:val="0036797E"/>
    <w:rsid w:val="00367F1E"/>
    <w:rsid w:val="00377342"/>
    <w:rsid w:val="0038514D"/>
    <w:rsid w:val="00386A14"/>
    <w:rsid w:val="00391515"/>
    <w:rsid w:val="0039187D"/>
    <w:rsid w:val="00391C04"/>
    <w:rsid w:val="003936AA"/>
    <w:rsid w:val="00396679"/>
    <w:rsid w:val="00397272"/>
    <w:rsid w:val="003A2BC0"/>
    <w:rsid w:val="003A5CDA"/>
    <w:rsid w:val="003A6450"/>
    <w:rsid w:val="003A653D"/>
    <w:rsid w:val="003A74A2"/>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921"/>
    <w:rsid w:val="003D7AEE"/>
    <w:rsid w:val="003E0E2F"/>
    <w:rsid w:val="003E0FF2"/>
    <w:rsid w:val="003E3AFA"/>
    <w:rsid w:val="003E66F5"/>
    <w:rsid w:val="003E6F62"/>
    <w:rsid w:val="003E7A3F"/>
    <w:rsid w:val="003E7DB4"/>
    <w:rsid w:val="003F0421"/>
    <w:rsid w:val="003F0C82"/>
    <w:rsid w:val="003F3B5A"/>
    <w:rsid w:val="003F5EC0"/>
    <w:rsid w:val="003F6639"/>
    <w:rsid w:val="003F7D7D"/>
    <w:rsid w:val="003F7EF6"/>
    <w:rsid w:val="00400034"/>
    <w:rsid w:val="00400D84"/>
    <w:rsid w:val="00404041"/>
    <w:rsid w:val="00405549"/>
    <w:rsid w:val="0041279E"/>
    <w:rsid w:val="00412A7B"/>
    <w:rsid w:val="0041363C"/>
    <w:rsid w:val="00413C87"/>
    <w:rsid w:val="004150D5"/>
    <w:rsid w:val="00415D49"/>
    <w:rsid w:val="00416E1A"/>
    <w:rsid w:val="004173B6"/>
    <w:rsid w:val="004175B8"/>
    <w:rsid w:val="00420328"/>
    <w:rsid w:val="00423FE3"/>
    <w:rsid w:val="00425230"/>
    <w:rsid w:val="00425254"/>
    <w:rsid w:val="004258D9"/>
    <w:rsid w:val="004313CD"/>
    <w:rsid w:val="00431991"/>
    <w:rsid w:val="00431B4B"/>
    <w:rsid w:val="0043359C"/>
    <w:rsid w:val="00433721"/>
    <w:rsid w:val="00433D67"/>
    <w:rsid w:val="0043433F"/>
    <w:rsid w:val="00440C74"/>
    <w:rsid w:val="00451669"/>
    <w:rsid w:val="0045231C"/>
    <w:rsid w:val="004559F4"/>
    <w:rsid w:val="00455BCA"/>
    <w:rsid w:val="00456A8D"/>
    <w:rsid w:val="00456DAE"/>
    <w:rsid w:val="00461332"/>
    <w:rsid w:val="00461C5A"/>
    <w:rsid w:val="00463BF1"/>
    <w:rsid w:val="00463D49"/>
    <w:rsid w:val="00466280"/>
    <w:rsid w:val="004706FA"/>
    <w:rsid w:val="004712E1"/>
    <w:rsid w:val="00475A34"/>
    <w:rsid w:val="00476717"/>
    <w:rsid w:val="00476F75"/>
    <w:rsid w:val="004777AF"/>
    <w:rsid w:val="00477F20"/>
    <w:rsid w:val="0048024F"/>
    <w:rsid w:val="00484CB2"/>
    <w:rsid w:val="00485C3F"/>
    <w:rsid w:val="00492005"/>
    <w:rsid w:val="0049339C"/>
    <w:rsid w:val="00495600"/>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5CBA"/>
    <w:rsid w:val="004C6879"/>
    <w:rsid w:val="004D0299"/>
    <w:rsid w:val="004D0C69"/>
    <w:rsid w:val="004D1103"/>
    <w:rsid w:val="004D17B2"/>
    <w:rsid w:val="004D221D"/>
    <w:rsid w:val="004D3569"/>
    <w:rsid w:val="004D536E"/>
    <w:rsid w:val="004D56E0"/>
    <w:rsid w:val="004E2608"/>
    <w:rsid w:val="004E4CBB"/>
    <w:rsid w:val="004E5491"/>
    <w:rsid w:val="004E5A3E"/>
    <w:rsid w:val="004F0F81"/>
    <w:rsid w:val="004F10AD"/>
    <w:rsid w:val="004F668D"/>
    <w:rsid w:val="00500112"/>
    <w:rsid w:val="0050064F"/>
    <w:rsid w:val="0050185B"/>
    <w:rsid w:val="00502F84"/>
    <w:rsid w:val="00504E01"/>
    <w:rsid w:val="005055CC"/>
    <w:rsid w:val="005063AF"/>
    <w:rsid w:val="005068A3"/>
    <w:rsid w:val="005075AA"/>
    <w:rsid w:val="00510442"/>
    <w:rsid w:val="00511837"/>
    <w:rsid w:val="00513750"/>
    <w:rsid w:val="00514254"/>
    <w:rsid w:val="00515C33"/>
    <w:rsid w:val="0051774D"/>
    <w:rsid w:val="00520A05"/>
    <w:rsid w:val="0052312D"/>
    <w:rsid w:val="005235F4"/>
    <w:rsid w:val="00524EDC"/>
    <w:rsid w:val="0052516B"/>
    <w:rsid w:val="00527601"/>
    <w:rsid w:val="005279E9"/>
    <w:rsid w:val="005309DA"/>
    <w:rsid w:val="00530BC7"/>
    <w:rsid w:val="005316CE"/>
    <w:rsid w:val="005323E1"/>
    <w:rsid w:val="0053332F"/>
    <w:rsid w:val="00535503"/>
    <w:rsid w:val="005357AC"/>
    <w:rsid w:val="005365BA"/>
    <w:rsid w:val="00536BFB"/>
    <w:rsid w:val="005402DA"/>
    <w:rsid w:val="005409A9"/>
    <w:rsid w:val="005410C9"/>
    <w:rsid w:val="00541B34"/>
    <w:rsid w:val="0054223A"/>
    <w:rsid w:val="00542290"/>
    <w:rsid w:val="00543D2C"/>
    <w:rsid w:val="005442E9"/>
    <w:rsid w:val="0054630B"/>
    <w:rsid w:val="00550F08"/>
    <w:rsid w:val="005524FB"/>
    <w:rsid w:val="0055352F"/>
    <w:rsid w:val="00553863"/>
    <w:rsid w:val="005561C4"/>
    <w:rsid w:val="005574B7"/>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2499"/>
    <w:rsid w:val="005A2610"/>
    <w:rsid w:val="005A31B9"/>
    <w:rsid w:val="005A3C8E"/>
    <w:rsid w:val="005A5587"/>
    <w:rsid w:val="005A601C"/>
    <w:rsid w:val="005A6ED1"/>
    <w:rsid w:val="005B0891"/>
    <w:rsid w:val="005B1709"/>
    <w:rsid w:val="005B2601"/>
    <w:rsid w:val="005B43FF"/>
    <w:rsid w:val="005B4502"/>
    <w:rsid w:val="005B63EE"/>
    <w:rsid w:val="005B6BAD"/>
    <w:rsid w:val="005C03F6"/>
    <w:rsid w:val="005C18B5"/>
    <w:rsid w:val="005C1F9B"/>
    <w:rsid w:val="005C38C5"/>
    <w:rsid w:val="005C5080"/>
    <w:rsid w:val="005C5CDB"/>
    <w:rsid w:val="005D0F4E"/>
    <w:rsid w:val="005D195F"/>
    <w:rsid w:val="005D1D74"/>
    <w:rsid w:val="005D2E6B"/>
    <w:rsid w:val="005D3DF0"/>
    <w:rsid w:val="005D3FB5"/>
    <w:rsid w:val="005D6FFB"/>
    <w:rsid w:val="005E13BD"/>
    <w:rsid w:val="005E18B8"/>
    <w:rsid w:val="005E2099"/>
    <w:rsid w:val="005E28E5"/>
    <w:rsid w:val="005E3C1B"/>
    <w:rsid w:val="005E52A0"/>
    <w:rsid w:val="005E7F5A"/>
    <w:rsid w:val="005F0C76"/>
    <w:rsid w:val="005F4477"/>
    <w:rsid w:val="005F4723"/>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64"/>
    <w:rsid w:val="00657D7A"/>
    <w:rsid w:val="00662067"/>
    <w:rsid w:val="0066350F"/>
    <w:rsid w:val="00663C83"/>
    <w:rsid w:val="006649F6"/>
    <w:rsid w:val="00666863"/>
    <w:rsid w:val="006706EF"/>
    <w:rsid w:val="006720B4"/>
    <w:rsid w:val="00672307"/>
    <w:rsid w:val="00677D1E"/>
    <w:rsid w:val="00680C16"/>
    <w:rsid w:val="006814F5"/>
    <w:rsid w:val="006816B7"/>
    <w:rsid w:val="00682972"/>
    <w:rsid w:val="00684496"/>
    <w:rsid w:val="006844A9"/>
    <w:rsid w:val="00685769"/>
    <w:rsid w:val="0068584A"/>
    <w:rsid w:val="00685F58"/>
    <w:rsid w:val="00686179"/>
    <w:rsid w:val="00687950"/>
    <w:rsid w:val="006906CF"/>
    <w:rsid w:val="00692BA2"/>
    <w:rsid w:val="0069315B"/>
    <w:rsid w:val="00693CA0"/>
    <w:rsid w:val="006945FE"/>
    <w:rsid w:val="00694C89"/>
    <w:rsid w:val="006956EF"/>
    <w:rsid w:val="00695901"/>
    <w:rsid w:val="006A085B"/>
    <w:rsid w:val="006A09E3"/>
    <w:rsid w:val="006A1376"/>
    <w:rsid w:val="006A2066"/>
    <w:rsid w:val="006A39B9"/>
    <w:rsid w:val="006A781E"/>
    <w:rsid w:val="006B25AE"/>
    <w:rsid w:val="006B2D0C"/>
    <w:rsid w:val="006B3690"/>
    <w:rsid w:val="006B3F6B"/>
    <w:rsid w:val="006B4E89"/>
    <w:rsid w:val="006B74A7"/>
    <w:rsid w:val="006C3DAC"/>
    <w:rsid w:val="006C648D"/>
    <w:rsid w:val="006C73DA"/>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1774"/>
    <w:rsid w:val="006F1E83"/>
    <w:rsid w:val="006F374A"/>
    <w:rsid w:val="006F3AF0"/>
    <w:rsid w:val="006F4E7D"/>
    <w:rsid w:val="006F5928"/>
    <w:rsid w:val="007002AE"/>
    <w:rsid w:val="0070228E"/>
    <w:rsid w:val="00704EA2"/>
    <w:rsid w:val="007059B1"/>
    <w:rsid w:val="007072EF"/>
    <w:rsid w:val="007107F1"/>
    <w:rsid w:val="007109CB"/>
    <w:rsid w:val="0071115C"/>
    <w:rsid w:val="00711CCE"/>
    <w:rsid w:val="00713D68"/>
    <w:rsid w:val="007148EA"/>
    <w:rsid w:val="00717407"/>
    <w:rsid w:val="00717DBE"/>
    <w:rsid w:val="0072006E"/>
    <w:rsid w:val="007203FF"/>
    <w:rsid w:val="0072147B"/>
    <w:rsid w:val="007222AB"/>
    <w:rsid w:val="007261FA"/>
    <w:rsid w:val="00731E1B"/>
    <w:rsid w:val="0073288F"/>
    <w:rsid w:val="00732A17"/>
    <w:rsid w:val="00732F98"/>
    <w:rsid w:val="007345B3"/>
    <w:rsid w:val="00734C07"/>
    <w:rsid w:val="007353ED"/>
    <w:rsid w:val="00736219"/>
    <w:rsid w:val="00736AAB"/>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783C"/>
    <w:rsid w:val="00770949"/>
    <w:rsid w:val="00770EFB"/>
    <w:rsid w:val="00772362"/>
    <w:rsid w:val="00773FD6"/>
    <w:rsid w:val="00776EBD"/>
    <w:rsid w:val="00777103"/>
    <w:rsid w:val="00782049"/>
    <w:rsid w:val="00782A41"/>
    <w:rsid w:val="00783C43"/>
    <w:rsid w:val="0079088D"/>
    <w:rsid w:val="00790AA2"/>
    <w:rsid w:val="00790DC9"/>
    <w:rsid w:val="0079114E"/>
    <w:rsid w:val="007928A5"/>
    <w:rsid w:val="0079342B"/>
    <w:rsid w:val="00795873"/>
    <w:rsid w:val="007A09A2"/>
    <w:rsid w:val="007A18DC"/>
    <w:rsid w:val="007A368E"/>
    <w:rsid w:val="007A4AE4"/>
    <w:rsid w:val="007A7A53"/>
    <w:rsid w:val="007B4BCA"/>
    <w:rsid w:val="007C11D5"/>
    <w:rsid w:val="007C15EA"/>
    <w:rsid w:val="007C31C1"/>
    <w:rsid w:val="007C33A2"/>
    <w:rsid w:val="007C5D37"/>
    <w:rsid w:val="007C664E"/>
    <w:rsid w:val="007D1A7B"/>
    <w:rsid w:val="007D2A55"/>
    <w:rsid w:val="007D4DBC"/>
    <w:rsid w:val="007D4E1C"/>
    <w:rsid w:val="007E00A1"/>
    <w:rsid w:val="007E0864"/>
    <w:rsid w:val="007E2333"/>
    <w:rsid w:val="007E3821"/>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1DDD"/>
    <w:rsid w:val="00822734"/>
    <w:rsid w:val="008255B3"/>
    <w:rsid w:val="00825AAE"/>
    <w:rsid w:val="00830DC2"/>
    <w:rsid w:val="00830EA2"/>
    <w:rsid w:val="00832453"/>
    <w:rsid w:val="0083558E"/>
    <w:rsid w:val="008377DE"/>
    <w:rsid w:val="008403A8"/>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3DA6"/>
    <w:rsid w:val="008740E6"/>
    <w:rsid w:val="008741EB"/>
    <w:rsid w:val="00874F84"/>
    <w:rsid w:val="0087511C"/>
    <w:rsid w:val="008752D6"/>
    <w:rsid w:val="00877843"/>
    <w:rsid w:val="0088055E"/>
    <w:rsid w:val="00881CAE"/>
    <w:rsid w:val="00882D70"/>
    <w:rsid w:val="00883150"/>
    <w:rsid w:val="00890733"/>
    <w:rsid w:val="00891B35"/>
    <w:rsid w:val="00893068"/>
    <w:rsid w:val="0089383F"/>
    <w:rsid w:val="008948A5"/>
    <w:rsid w:val="00895D68"/>
    <w:rsid w:val="008A2420"/>
    <w:rsid w:val="008A250A"/>
    <w:rsid w:val="008A3498"/>
    <w:rsid w:val="008A4357"/>
    <w:rsid w:val="008A4FC2"/>
    <w:rsid w:val="008B0293"/>
    <w:rsid w:val="008B4EFF"/>
    <w:rsid w:val="008B57DF"/>
    <w:rsid w:val="008C394D"/>
    <w:rsid w:val="008C3ECC"/>
    <w:rsid w:val="008C4E81"/>
    <w:rsid w:val="008C5F79"/>
    <w:rsid w:val="008C6F01"/>
    <w:rsid w:val="008D16E0"/>
    <w:rsid w:val="008D19DC"/>
    <w:rsid w:val="008D4EE4"/>
    <w:rsid w:val="008D50C8"/>
    <w:rsid w:val="008D6456"/>
    <w:rsid w:val="008E2144"/>
    <w:rsid w:val="008E399F"/>
    <w:rsid w:val="008E3B9F"/>
    <w:rsid w:val="008E6340"/>
    <w:rsid w:val="008E672B"/>
    <w:rsid w:val="008F30D8"/>
    <w:rsid w:val="008F3544"/>
    <w:rsid w:val="008F4560"/>
    <w:rsid w:val="008F6C46"/>
    <w:rsid w:val="009007D6"/>
    <w:rsid w:val="009009EF"/>
    <w:rsid w:val="009010BE"/>
    <w:rsid w:val="00901733"/>
    <w:rsid w:val="009035BC"/>
    <w:rsid w:val="009042C2"/>
    <w:rsid w:val="00907FA5"/>
    <w:rsid w:val="00911865"/>
    <w:rsid w:val="00913D2E"/>
    <w:rsid w:val="00923B9E"/>
    <w:rsid w:val="009249BA"/>
    <w:rsid w:val="00926AEF"/>
    <w:rsid w:val="00927905"/>
    <w:rsid w:val="00930A3A"/>
    <w:rsid w:val="009317F0"/>
    <w:rsid w:val="009327B1"/>
    <w:rsid w:val="00932DF6"/>
    <w:rsid w:val="00935BC9"/>
    <w:rsid w:val="00935DBD"/>
    <w:rsid w:val="009415CC"/>
    <w:rsid w:val="00942605"/>
    <w:rsid w:val="00942A0A"/>
    <w:rsid w:val="00942E42"/>
    <w:rsid w:val="009430D2"/>
    <w:rsid w:val="00950EBF"/>
    <w:rsid w:val="00951C9C"/>
    <w:rsid w:val="009547BC"/>
    <w:rsid w:val="00954A5E"/>
    <w:rsid w:val="009554F2"/>
    <w:rsid w:val="00960774"/>
    <w:rsid w:val="0096173F"/>
    <w:rsid w:val="009623F7"/>
    <w:rsid w:val="00966581"/>
    <w:rsid w:val="009676E9"/>
    <w:rsid w:val="00974533"/>
    <w:rsid w:val="00975DDB"/>
    <w:rsid w:val="00977343"/>
    <w:rsid w:val="00980199"/>
    <w:rsid w:val="00980252"/>
    <w:rsid w:val="00982391"/>
    <w:rsid w:val="0098297B"/>
    <w:rsid w:val="00983817"/>
    <w:rsid w:val="00983EC4"/>
    <w:rsid w:val="009840D1"/>
    <w:rsid w:val="00985EF8"/>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5C02"/>
    <w:rsid w:val="009B663C"/>
    <w:rsid w:val="009B7064"/>
    <w:rsid w:val="009C05F6"/>
    <w:rsid w:val="009C18CE"/>
    <w:rsid w:val="009C1927"/>
    <w:rsid w:val="009C1A1D"/>
    <w:rsid w:val="009C1F08"/>
    <w:rsid w:val="009C2919"/>
    <w:rsid w:val="009C3151"/>
    <w:rsid w:val="009C46E7"/>
    <w:rsid w:val="009C5418"/>
    <w:rsid w:val="009C6F85"/>
    <w:rsid w:val="009C7BC2"/>
    <w:rsid w:val="009D1727"/>
    <w:rsid w:val="009D1E09"/>
    <w:rsid w:val="009D42D4"/>
    <w:rsid w:val="009D4583"/>
    <w:rsid w:val="009E1269"/>
    <w:rsid w:val="009E131B"/>
    <w:rsid w:val="009E1C42"/>
    <w:rsid w:val="009E1DE7"/>
    <w:rsid w:val="009E301C"/>
    <w:rsid w:val="009E3229"/>
    <w:rsid w:val="009E45F2"/>
    <w:rsid w:val="009E4DC2"/>
    <w:rsid w:val="009E591F"/>
    <w:rsid w:val="009E743C"/>
    <w:rsid w:val="009F4CA9"/>
    <w:rsid w:val="00A0104D"/>
    <w:rsid w:val="00A02F4E"/>
    <w:rsid w:val="00A036F8"/>
    <w:rsid w:val="00A0417E"/>
    <w:rsid w:val="00A04D0B"/>
    <w:rsid w:val="00A058BE"/>
    <w:rsid w:val="00A1181E"/>
    <w:rsid w:val="00A13A99"/>
    <w:rsid w:val="00A1493D"/>
    <w:rsid w:val="00A14E07"/>
    <w:rsid w:val="00A15127"/>
    <w:rsid w:val="00A1562D"/>
    <w:rsid w:val="00A1679F"/>
    <w:rsid w:val="00A17425"/>
    <w:rsid w:val="00A222FB"/>
    <w:rsid w:val="00A24319"/>
    <w:rsid w:val="00A2537F"/>
    <w:rsid w:val="00A25F07"/>
    <w:rsid w:val="00A3068F"/>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8D4"/>
    <w:rsid w:val="00AA2B95"/>
    <w:rsid w:val="00AA3A8F"/>
    <w:rsid w:val="00AA542B"/>
    <w:rsid w:val="00AA5A38"/>
    <w:rsid w:val="00AA5D08"/>
    <w:rsid w:val="00AA6DD3"/>
    <w:rsid w:val="00AB0E87"/>
    <w:rsid w:val="00AB0F35"/>
    <w:rsid w:val="00AB46B3"/>
    <w:rsid w:val="00AB4A6B"/>
    <w:rsid w:val="00AB72B2"/>
    <w:rsid w:val="00AC0BB8"/>
    <w:rsid w:val="00AC251C"/>
    <w:rsid w:val="00AC42E0"/>
    <w:rsid w:val="00AC52B1"/>
    <w:rsid w:val="00AC6947"/>
    <w:rsid w:val="00AC703D"/>
    <w:rsid w:val="00AC713F"/>
    <w:rsid w:val="00AD3644"/>
    <w:rsid w:val="00AD4F7F"/>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7CC7"/>
    <w:rsid w:val="00B27DCB"/>
    <w:rsid w:val="00B30DB4"/>
    <w:rsid w:val="00B31378"/>
    <w:rsid w:val="00B31F80"/>
    <w:rsid w:val="00B33466"/>
    <w:rsid w:val="00B33E82"/>
    <w:rsid w:val="00B372E2"/>
    <w:rsid w:val="00B41AA2"/>
    <w:rsid w:val="00B43898"/>
    <w:rsid w:val="00B45717"/>
    <w:rsid w:val="00B46B45"/>
    <w:rsid w:val="00B5022C"/>
    <w:rsid w:val="00B527BF"/>
    <w:rsid w:val="00B5300E"/>
    <w:rsid w:val="00B53A78"/>
    <w:rsid w:val="00B53DC2"/>
    <w:rsid w:val="00B5417F"/>
    <w:rsid w:val="00B55E8F"/>
    <w:rsid w:val="00B57277"/>
    <w:rsid w:val="00B60510"/>
    <w:rsid w:val="00B614F8"/>
    <w:rsid w:val="00B644E2"/>
    <w:rsid w:val="00B64556"/>
    <w:rsid w:val="00B6588A"/>
    <w:rsid w:val="00B6633C"/>
    <w:rsid w:val="00B670D2"/>
    <w:rsid w:val="00B72201"/>
    <w:rsid w:val="00B73F85"/>
    <w:rsid w:val="00B758EC"/>
    <w:rsid w:val="00B7651E"/>
    <w:rsid w:val="00B76995"/>
    <w:rsid w:val="00B7780E"/>
    <w:rsid w:val="00B77A5C"/>
    <w:rsid w:val="00B77F5F"/>
    <w:rsid w:val="00B828F4"/>
    <w:rsid w:val="00B861D0"/>
    <w:rsid w:val="00B87A47"/>
    <w:rsid w:val="00B87F2D"/>
    <w:rsid w:val="00B92A20"/>
    <w:rsid w:val="00B93822"/>
    <w:rsid w:val="00B94447"/>
    <w:rsid w:val="00B95493"/>
    <w:rsid w:val="00BA2588"/>
    <w:rsid w:val="00BA5ABB"/>
    <w:rsid w:val="00BB01EA"/>
    <w:rsid w:val="00BB4B52"/>
    <w:rsid w:val="00BB5485"/>
    <w:rsid w:val="00BB5B37"/>
    <w:rsid w:val="00BC0687"/>
    <w:rsid w:val="00BC1DA6"/>
    <w:rsid w:val="00BC3A24"/>
    <w:rsid w:val="00BC44AA"/>
    <w:rsid w:val="00BC48AF"/>
    <w:rsid w:val="00BC5C86"/>
    <w:rsid w:val="00BD1BDE"/>
    <w:rsid w:val="00BD2C36"/>
    <w:rsid w:val="00BD30CB"/>
    <w:rsid w:val="00BD3161"/>
    <w:rsid w:val="00BD352C"/>
    <w:rsid w:val="00BD4097"/>
    <w:rsid w:val="00BD580A"/>
    <w:rsid w:val="00BD7CD0"/>
    <w:rsid w:val="00BE08A3"/>
    <w:rsid w:val="00BE1A83"/>
    <w:rsid w:val="00BE7FAD"/>
    <w:rsid w:val="00BF0E77"/>
    <w:rsid w:val="00BF2F4F"/>
    <w:rsid w:val="00BF4716"/>
    <w:rsid w:val="00BF550C"/>
    <w:rsid w:val="00BF550E"/>
    <w:rsid w:val="00C002A0"/>
    <w:rsid w:val="00C0198D"/>
    <w:rsid w:val="00C01A2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09F"/>
    <w:rsid w:val="00C2748D"/>
    <w:rsid w:val="00C27E02"/>
    <w:rsid w:val="00C3021B"/>
    <w:rsid w:val="00C31C54"/>
    <w:rsid w:val="00C324A5"/>
    <w:rsid w:val="00C3339B"/>
    <w:rsid w:val="00C33A85"/>
    <w:rsid w:val="00C3532F"/>
    <w:rsid w:val="00C35F77"/>
    <w:rsid w:val="00C42E4B"/>
    <w:rsid w:val="00C45DD1"/>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2845"/>
    <w:rsid w:val="00C73103"/>
    <w:rsid w:val="00C73265"/>
    <w:rsid w:val="00C74DCD"/>
    <w:rsid w:val="00C7566D"/>
    <w:rsid w:val="00C767BD"/>
    <w:rsid w:val="00C76D2A"/>
    <w:rsid w:val="00C7702A"/>
    <w:rsid w:val="00C839D2"/>
    <w:rsid w:val="00C9039F"/>
    <w:rsid w:val="00C90D2B"/>
    <w:rsid w:val="00C918CD"/>
    <w:rsid w:val="00C91E4F"/>
    <w:rsid w:val="00C92B28"/>
    <w:rsid w:val="00C93AAA"/>
    <w:rsid w:val="00C94269"/>
    <w:rsid w:val="00C9559E"/>
    <w:rsid w:val="00C97061"/>
    <w:rsid w:val="00C971AB"/>
    <w:rsid w:val="00CA35E6"/>
    <w:rsid w:val="00CA520C"/>
    <w:rsid w:val="00CA590C"/>
    <w:rsid w:val="00CA644D"/>
    <w:rsid w:val="00CA67E7"/>
    <w:rsid w:val="00CA7E46"/>
    <w:rsid w:val="00CB0AA1"/>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17F8"/>
    <w:rsid w:val="00CD410A"/>
    <w:rsid w:val="00CD456B"/>
    <w:rsid w:val="00CD45FF"/>
    <w:rsid w:val="00CD70C3"/>
    <w:rsid w:val="00CD7D70"/>
    <w:rsid w:val="00CE1571"/>
    <w:rsid w:val="00CE5297"/>
    <w:rsid w:val="00CE7E31"/>
    <w:rsid w:val="00CF03FE"/>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450"/>
    <w:rsid w:val="00D355DE"/>
    <w:rsid w:val="00D355FB"/>
    <w:rsid w:val="00D358BA"/>
    <w:rsid w:val="00D37670"/>
    <w:rsid w:val="00D4029F"/>
    <w:rsid w:val="00D42CE4"/>
    <w:rsid w:val="00D43664"/>
    <w:rsid w:val="00D4375B"/>
    <w:rsid w:val="00D5177C"/>
    <w:rsid w:val="00D536F2"/>
    <w:rsid w:val="00D56716"/>
    <w:rsid w:val="00D5772B"/>
    <w:rsid w:val="00D61E18"/>
    <w:rsid w:val="00D62266"/>
    <w:rsid w:val="00D6248E"/>
    <w:rsid w:val="00D64249"/>
    <w:rsid w:val="00D64D8E"/>
    <w:rsid w:val="00D6589C"/>
    <w:rsid w:val="00D82608"/>
    <w:rsid w:val="00D839B1"/>
    <w:rsid w:val="00D83C69"/>
    <w:rsid w:val="00D845F0"/>
    <w:rsid w:val="00D86EEF"/>
    <w:rsid w:val="00D92A8D"/>
    <w:rsid w:val="00D92D29"/>
    <w:rsid w:val="00D95A7A"/>
    <w:rsid w:val="00D95C80"/>
    <w:rsid w:val="00D969E8"/>
    <w:rsid w:val="00D96ACF"/>
    <w:rsid w:val="00DA0611"/>
    <w:rsid w:val="00DA2027"/>
    <w:rsid w:val="00DA212D"/>
    <w:rsid w:val="00DA36F1"/>
    <w:rsid w:val="00DA3C49"/>
    <w:rsid w:val="00DB3577"/>
    <w:rsid w:val="00DB4759"/>
    <w:rsid w:val="00DB4DF0"/>
    <w:rsid w:val="00DB5B99"/>
    <w:rsid w:val="00DB6AAE"/>
    <w:rsid w:val="00DB6DB4"/>
    <w:rsid w:val="00DB76C8"/>
    <w:rsid w:val="00DB7CBF"/>
    <w:rsid w:val="00DC0FD7"/>
    <w:rsid w:val="00DC1ACB"/>
    <w:rsid w:val="00DC331F"/>
    <w:rsid w:val="00DD12B4"/>
    <w:rsid w:val="00DD3D50"/>
    <w:rsid w:val="00DD48E0"/>
    <w:rsid w:val="00DD559A"/>
    <w:rsid w:val="00DD574E"/>
    <w:rsid w:val="00DD60EB"/>
    <w:rsid w:val="00DE078C"/>
    <w:rsid w:val="00DE1C3F"/>
    <w:rsid w:val="00DF0011"/>
    <w:rsid w:val="00DF0C31"/>
    <w:rsid w:val="00DF2967"/>
    <w:rsid w:val="00DF37F4"/>
    <w:rsid w:val="00DF4009"/>
    <w:rsid w:val="00DF4123"/>
    <w:rsid w:val="00DF4DAE"/>
    <w:rsid w:val="00DF5933"/>
    <w:rsid w:val="00E00B79"/>
    <w:rsid w:val="00E01842"/>
    <w:rsid w:val="00E02D7A"/>
    <w:rsid w:val="00E03EE2"/>
    <w:rsid w:val="00E0613C"/>
    <w:rsid w:val="00E11067"/>
    <w:rsid w:val="00E12C13"/>
    <w:rsid w:val="00E135BA"/>
    <w:rsid w:val="00E13D81"/>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2491"/>
    <w:rsid w:val="00E331A8"/>
    <w:rsid w:val="00E350C8"/>
    <w:rsid w:val="00E35BAD"/>
    <w:rsid w:val="00E35D9E"/>
    <w:rsid w:val="00E40C63"/>
    <w:rsid w:val="00E41451"/>
    <w:rsid w:val="00E42992"/>
    <w:rsid w:val="00E43305"/>
    <w:rsid w:val="00E45380"/>
    <w:rsid w:val="00E4583F"/>
    <w:rsid w:val="00E504E8"/>
    <w:rsid w:val="00E54656"/>
    <w:rsid w:val="00E549EE"/>
    <w:rsid w:val="00E56A1B"/>
    <w:rsid w:val="00E56AF4"/>
    <w:rsid w:val="00E5777D"/>
    <w:rsid w:val="00E57EDE"/>
    <w:rsid w:val="00E61EC5"/>
    <w:rsid w:val="00E6428A"/>
    <w:rsid w:val="00E6706E"/>
    <w:rsid w:val="00E72497"/>
    <w:rsid w:val="00E74286"/>
    <w:rsid w:val="00E747E6"/>
    <w:rsid w:val="00E75D46"/>
    <w:rsid w:val="00E771FD"/>
    <w:rsid w:val="00E82432"/>
    <w:rsid w:val="00E824C2"/>
    <w:rsid w:val="00E85766"/>
    <w:rsid w:val="00E85E11"/>
    <w:rsid w:val="00E900AF"/>
    <w:rsid w:val="00E90A23"/>
    <w:rsid w:val="00EA0E8D"/>
    <w:rsid w:val="00EA11C0"/>
    <w:rsid w:val="00EA1E8C"/>
    <w:rsid w:val="00EA2610"/>
    <w:rsid w:val="00EA34A2"/>
    <w:rsid w:val="00EA4B14"/>
    <w:rsid w:val="00EA4CF3"/>
    <w:rsid w:val="00EA5E6C"/>
    <w:rsid w:val="00EB1500"/>
    <w:rsid w:val="00EB445C"/>
    <w:rsid w:val="00EB4AE2"/>
    <w:rsid w:val="00EB76D3"/>
    <w:rsid w:val="00EB7A0D"/>
    <w:rsid w:val="00EC0896"/>
    <w:rsid w:val="00EC0D19"/>
    <w:rsid w:val="00EC1206"/>
    <w:rsid w:val="00EC1848"/>
    <w:rsid w:val="00EC29ED"/>
    <w:rsid w:val="00EC3469"/>
    <w:rsid w:val="00EC4403"/>
    <w:rsid w:val="00EC5EE5"/>
    <w:rsid w:val="00EC63CC"/>
    <w:rsid w:val="00EE2890"/>
    <w:rsid w:val="00EE2A59"/>
    <w:rsid w:val="00EE3E37"/>
    <w:rsid w:val="00EE4024"/>
    <w:rsid w:val="00EE4140"/>
    <w:rsid w:val="00EE447C"/>
    <w:rsid w:val="00EF293F"/>
    <w:rsid w:val="00EF2BA9"/>
    <w:rsid w:val="00EF2ED3"/>
    <w:rsid w:val="00EF3391"/>
    <w:rsid w:val="00EF3AE2"/>
    <w:rsid w:val="00EF66BE"/>
    <w:rsid w:val="00EF7180"/>
    <w:rsid w:val="00F00FBA"/>
    <w:rsid w:val="00F04DF8"/>
    <w:rsid w:val="00F06491"/>
    <w:rsid w:val="00F11C96"/>
    <w:rsid w:val="00F11D7D"/>
    <w:rsid w:val="00F1378A"/>
    <w:rsid w:val="00F156FE"/>
    <w:rsid w:val="00F15C90"/>
    <w:rsid w:val="00F15E29"/>
    <w:rsid w:val="00F17E73"/>
    <w:rsid w:val="00F20FBE"/>
    <w:rsid w:val="00F21E54"/>
    <w:rsid w:val="00F237F4"/>
    <w:rsid w:val="00F2511D"/>
    <w:rsid w:val="00F257BC"/>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0AE9"/>
    <w:rsid w:val="00F524F8"/>
    <w:rsid w:val="00F55368"/>
    <w:rsid w:val="00F57A6E"/>
    <w:rsid w:val="00F61AE8"/>
    <w:rsid w:val="00F62A07"/>
    <w:rsid w:val="00F67DBB"/>
    <w:rsid w:val="00F711F5"/>
    <w:rsid w:val="00F71B59"/>
    <w:rsid w:val="00F7224E"/>
    <w:rsid w:val="00F72490"/>
    <w:rsid w:val="00F77059"/>
    <w:rsid w:val="00F779DE"/>
    <w:rsid w:val="00F77CC1"/>
    <w:rsid w:val="00F803CB"/>
    <w:rsid w:val="00F80844"/>
    <w:rsid w:val="00F833D5"/>
    <w:rsid w:val="00F84729"/>
    <w:rsid w:val="00F84C5D"/>
    <w:rsid w:val="00F86A2B"/>
    <w:rsid w:val="00F87B24"/>
    <w:rsid w:val="00F87B7A"/>
    <w:rsid w:val="00F90329"/>
    <w:rsid w:val="00F915B5"/>
    <w:rsid w:val="00F91BF1"/>
    <w:rsid w:val="00F946CD"/>
    <w:rsid w:val="00F96DE0"/>
    <w:rsid w:val="00F97FB7"/>
    <w:rsid w:val="00FA08F8"/>
    <w:rsid w:val="00FA0AA9"/>
    <w:rsid w:val="00FA7A80"/>
    <w:rsid w:val="00FB0D73"/>
    <w:rsid w:val="00FB1041"/>
    <w:rsid w:val="00FB10A1"/>
    <w:rsid w:val="00FB21B3"/>
    <w:rsid w:val="00FB2350"/>
    <w:rsid w:val="00FB32C9"/>
    <w:rsid w:val="00FB3C9D"/>
    <w:rsid w:val="00FB4794"/>
    <w:rsid w:val="00FB4F9E"/>
    <w:rsid w:val="00FB77E1"/>
    <w:rsid w:val="00FC0634"/>
    <w:rsid w:val="00FC12EE"/>
    <w:rsid w:val="00FC1729"/>
    <w:rsid w:val="00FC22D1"/>
    <w:rsid w:val="00FC33C8"/>
    <w:rsid w:val="00FC5D7D"/>
    <w:rsid w:val="00FC6C49"/>
    <w:rsid w:val="00FC7347"/>
    <w:rsid w:val="00FC7B89"/>
    <w:rsid w:val="00FD05E3"/>
    <w:rsid w:val="00FD0B3D"/>
    <w:rsid w:val="00FD1E5C"/>
    <w:rsid w:val="00FD2A50"/>
    <w:rsid w:val="00FD3417"/>
    <w:rsid w:val="00FD4CB9"/>
    <w:rsid w:val="00FD571C"/>
    <w:rsid w:val="00FD6BD4"/>
    <w:rsid w:val="00FD74E0"/>
    <w:rsid w:val="00FD7EBF"/>
    <w:rsid w:val="00FE085C"/>
    <w:rsid w:val="00FE22F4"/>
    <w:rsid w:val="00FE461D"/>
    <w:rsid w:val="00FE574D"/>
    <w:rsid w:val="00FE5782"/>
    <w:rsid w:val="00FE6A8C"/>
    <w:rsid w:val="00FE70F4"/>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7715B848-64BE-4D08-8CB5-F84271D1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4"/>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4"/>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4"/>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tabs>
        <w:tab w:val="left" w:pos="1304"/>
      </w:tabs>
      <w:spacing w:beforeLines="50" w:before="50"/>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rsid w:val="00B93822"/>
  </w:style>
  <w:style w:type="character" w:customStyle="1" w:styleId="WW8Num1z0">
    <w:name w:val="WW8Num1z0"/>
    <w:rsid w:val="00084466"/>
  </w:style>
  <w:style w:type="character" w:customStyle="1" w:styleId="ObservationChar">
    <w:name w:val="Observation Char"/>
    <w:rsid w:val="008A2420"/>
    <w:rPr>
      <w:rFonts w:ascii="Arial" w:hAnsi="Arial"/>
      <w:b/>
      <w:bCs/>
      <w:lang w:val="en-GB"/>
    </w:rPr>
  </w:style>
  <w:style w:type="character" w:customStyle="1" w:styleId="B3Char">
    <w:name w:val="B3 Char"/>
    <w:qFormat/>
    <w:rsid w:val="00830DC2"/>
  </w:style>
  <w:style w:type="paragraph" w:customStyle="1" w:styleId="Comments">
    <w:name w:val="Comments"/>
    <w:basedOn w:val="a0"/>
    <w:link w:val="CommentsChar"/>
    <w:qFormat/>
    <w:rsid w:val="00DD48E0"/>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DD48E0"/>
    <w:rPr>
      <w:rFonts w:ascii="Arial" w:eastAsia="MS Mincho" w:hAnsi="Arial"/>
      <w:i/>
      <w:noProof/>
      <w:sz w:val="18"/>
      <w:szCs w:val="24"/>
      <w:lang w:val="en-GB" w:eastAsia="en-GB"/>
    </w:rPr>
  </w:style>
  <w:style w:type="paragraph" w:customStyle="1" w:styleId="Default">
    <w:name w:val="Default"/>
    <w:rsid w:val="005E18B8"/>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微软雅黑" w:eastAsia="微软雅黑" w:cs="微软雅黑"/>
      <w:color w:val="000000"/>
      <w:sz w:val="24"/>
      <w:szCs w:val="24"/>
    </w:rPr>
  </w:style>
  <w:style w:type="character" w:customStyle="1" w:styleId="cf01">
    <w:name w:val="cf01"/>
    <w:basedOn w:val="a1"/>
    <w:rsid w:val="00B55E8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145829860">
      <w:bodyDiv w:val="1"/>
      <w:marLeft w:val="0"/>
      <w:marRight w:val="0"/>
      <w:marTop w:val="0"/>
      <w:marBottom w:val="0"/>
      <w:divBdr>
        <w:top w:val="none" w:sz="0" w:space="0" w:color="auto"/>
        <w:left w:val="none" w:sz="0" w:space="0" w:color="auto"/>
        <w:bottom w:val="none" w:sz="0" w:space="0" w:color="auto"/>
        <w:right w:val="none" w:sz="0" w:space="0" w:color="auto"/>
      </w:divBdr>
      <w:divsChild>
        <w:div w:id="843514370">
          <w:marLeft w:val="1166"/>
          <w:marRight w:val="0"/>
          <w:marTop w:val="86"/>
          <w:marBottom w:val="0"/>
          <w:divBdr>
            <w:top w:val="none" w:sz="0" w:space="0" w:color="auto"/>
            <w:left w:val="none" w:sz="0" w:space="0" w:color="auto"/>
            <w:bottom w:val="none" w:sz="0" w:space="0" w:color="auto"/>
            <w:right w:val="none" w:sz="0" w:space="0" w:color="auto"/>
          </w:divBdr>
        </w:div>
      </w:divsChild>
    </w:div>
    <w:div w:id="151871063">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407729186">
      <w:bodyDiv w:val="1"/>
      <w:marLeft w:val="0"/>
      <w:marRight w:val="0"/>
      <w:marTop w:val="0"/>
      <w:marBottom w:val="0"/>
      <w:divBdr>
        <w:top w:val="none" w:sz="0" w:space="0" w:color="auto"/>
        <w:left w:val="none" w:sz="0" w:space="0" w:color="auto"/>
        <w:bottom w:val="none" w:sz="0" w:space="0" w:color="auto"/>
        <w:right w:val="none" w:sz="0" w:space="0" w:color="auto"/>
      </w:divBdr>
      <w:divsChild>
        <w:div w:id="129596306">
          <w:marLeft w:val="1627"/>
          <w:marRight w:val="0"/>
          <w:marTop w:val="86"/>
          <w:marBottom w:val="60"/>
          <w:divBdr>
            <w:top w:val="none" w:sz="0" w:space="0" w:color="auto"/>
            <w:left w:val="none" w:sz="0" w:space="0" w:color="auto"/>
            <w:bottom w:val="none" w:sz="0" w:space="0" w:color="auto"/>
            <w:right w:val="none" w:sz="0" w:space="0" w:color="auto"/>
          </w:divBdr>
        </w:div>
        <w:div w:id="491062610">
          <w:marLeft w:val="360"/>
          <w:marRight w:val="0"/>
          <w:marTop w:val="86"/>
          <w:marBottom w:val="60"/>
          <w:divBdr>
            <w:top w:val="none" w:sz="0" w:space="0" w:color="auto"/>
            <w:left w:val="none" w:sz="0" w:space="0" w:color="auto"/>
            <w:bottom w:val="none" w:sz="0" w:space="0" w:color="auto"/>
            <w:right w:val="none" w:sz="0" w:space="0" w:color="auto"/>
          </w:divBdr>
        </w:div>
        <w:div w:id="546188388">
          <w:marLeft w:val="1627"/>
          <w:marRight w:val="0"/>
          <w:marTop w:val="86"/>
          <w:marBottom w:val="60"/>
          <w:divBdr>
            <w:top w:val="none" w:sz="0" w:space="0" w:color="auto"/>
            <w:left w:val="none" w:sz="0" w:space="0" w:color="auto"/>
            <w:bottom w:val="none" w:sz="0" w:space="0" w:color="auto"/>
            <w:right w:val="none" w:sz="0" w:space="0" w:color="auto"/>
          </w:divBdr>
        </w:div>
        <w:div w:id="767041140">
          <w:marLeft w:val="360"/>
          <w:marRight w:val="0"/>
          <w:marTop w:val="86"/>
          <w:marBottom w:val="60"/>
          <w:divBdr>
            <w:top w:val="none" w:sz="0" w:space="0" w:color="auto"/>
            <w:left w:val="none" w:sz="0" w:space="0" w:color="auto"/>
            <w:bottom w:val="none" w:sz="0" w:space="0" w:color="auto"/>
            <w:right w:val="none" w:sz="0" w:space="0" w:color="auto"/>
          </w:divBdr>
        </w:div>
        <w:div w:id="1581981088">
          <w:marLeft w:val="360"/>
          <w:marRight w:val="0"/>
          <w:marTop w:val="86"/>
          <w:marBottom w:val="60"/>
          <w:divBdr>
            <w:top w:val="none" w:sz="0" w:space="0" w:color="auto"/>
            <w:left w:val="none" w:sz="0" w:space="0" w:color="auto"/>
            <w:bottom w:val="none" w:sz="0" w:space="0" w:color="auto"/>
            <w:right w:val="none" w:sz="0" w:space="0" w:color="auto"/>
          </w:divBdr>
        </w:div>
        <w:div w:id="1880581963">
          <w:marLeft w:val="994"/>
          <w:marRight w:val="0"/>
          <w:marTop w:val="86"/>
          <w:marBottom w:val="60"/>
          <w:divBdr>
            <w:top w:val="none" w:sz="0" w:space="0" w:color="auto"/>
            <w:left w:val="none" w:sz="0" w:space="0" w:color="auto"/>
            <w:bottom w:val="none" w:sz="0" w:space="0" w:color="auto"/>
            <w:right w:val="none" w:sz="0" w:space="0" w:color="auto"/>
          </w:divBdr>
        </w:div>
        <w:div w:id="1919364338">
          <w:marLeft w:val="994"/>
          <w:marRight w:val="0"/>
          <w:marTop w:val="86"/>
          <w:marBottom w:val="60"/>
          <w:divBdr>
            <w:top w:val="none" w:sz="0" w:space="0" w:color="auto"/>
            <w:left w:val="none" w:sz="0" w:space="0" w:color="auto"/>
            <w:bottom w:val="none" w:sz="0" w:space="0" w:color="auto"/>
            <w:right w:val="none" w:sz="0" w:space="0" w:color="auto"/>
          </w:divBdr>
        </w:div>
      </w:divsChild>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593590738">
      <w:bodyDiv w:val="1"/>
      <w:marLeft w:val="0"/>
      <w:marRight w:val="0"/>
      <w:marTop w:val="0"/>
      <w:marBottom w:val="0"/>
      <w:divBdr>
        <w:top w:val="none" w:sz="0" w:space="0" w:color="auto"/>
        <w:left w:val="none" w:sz="0" w:space="0" w:color="auto"/>
        <w:bottom w:val="none" w:sz="0" w:space="0" w:color="auto"/>
        <w:right w:val="none" w:sz="0" w:space="0" w:color="auto"/>
      </w:divBdr>
      <w:divsChild>
        <w:div w:id="1530872167">
          <w:marLeft w:val="1166"/>
          <w:marRight w:val="0"/>
          <w:marTop w:val="86"/>
          <w:marBottom w:val="0"/>
          <w:divBdr>
            <w:top w:val="none" w:sz="0" w:space="0" w:color="auto"/>
            <w:left w:val="none" w:sz="0" w:space="0" w:color="auto"/>
            <w:bottom w:val="none" w:sz="0" w:space="0" w:color="auto"/>
            <w:right w:val="none" w:sz="0" w:space="0" w:color="auto"/>
          </w:divBdr>
        </w:div>
      </w:divsChild>
    </w:div>
    <w:div w:id="66370756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11306699">
      <w:bodyDiv w:val="1"/>
      <w:marLeft w:val="0"/>
      <w:marRight w:val="0"/>
      <w:marTop w:val="0"/>
      <w:marBottom w:val="0"/>
      <w:divBdr>
        <w:top w:val="none" w:sz="0" w:space="0" w:color="auto"/>
        <w:left w:val="none" w:sz="0" w:space="0" w:color="auto"/>
        <w:bottom w:val="none" w:sz="0" w:space="0" w:color="auto"/>
        <w:right w:val="none" w:sz="0" w:space="0" w:color="auto"/>
      </w:divBdr>
      <w:divsChild>
        <w:div w:id="367754180">
          <w:marLeft w:val="360"/>
          <w:marRight w:val="0"/>
          <w:marTop w:val="86"/>
          <w:marBottom w:val="60"/>
          <w:divBdr>
            <w:top w:val="none" w:sz="0" w:space="0" w:color="auto"/>
            <w:left w:val="none" w:sz="0" w:space="0" w:color="auto"/>
            <w:bottom w:val="none" w:sz="0" w:space="0" w:color="auto"/>
            <w:right w:val="none" w:sz="0" w:space="0" w:color="auto"/>
          </w:divBdr>
        </w:div>
        <w:div w:id="597370896">
          <w:marLeft w:val="994"/>
          <w:marRight w:val="0"/>
          <w:marTop w:val="67"/>
          <w:marBottom w:val="60"/>
          <w:divBdr>
            <w:top w:val="none" w:sz="0" w:space="0" w:color="auto"/>
            <w:left w:val="none" w:sz="0" w:space="0" w:color="auto"/>
            <w:bottom w:val="none" w:sz="0" w:space="0" w:color="auto"/>
            <w:right w:val="none" w:sz="0" w:space="0" w:color="auto"/>
          </w:divBdr>
        </w:div>
        <w:div w:id="1252930051">
          <w:marLeft w:val="994"/>
          <w:marRight w:val="0"/>
          <w:marTop w:val="67"/>
          <w:marBottom w:val="60"/>
          <w:divBdr>
            <w:top w:val="none" w:sz="0" w:space="0" w:color="auto"/>
            <w:left w:val="none" w:sz="0" w:space="0" w:color="auto"/>
            <w:bottom w:val="none" w:sz="0" w:space="0" w:color="auto"/>
            <w:right w:val="none" w:sz="0" w:space="0" w:color="auto"/>
          </w:divBdr>
        </w:div>
        <w:div w:id="1614946732">
          <w:marLeft w:val="994"/>
          <w:marRight w:val="0"/>
          <w:marTop w:val="67"/>
          <w:marBottom w:val="60"/>
          <w:divBdr>
            <w:top w:val="none" w:sz="0" w:space="0" w:color="auto"/>
            <w:left w:val="none" w:sz="0" w:space="0" w:color="auto"/>
            <w:bottom w:val="none" w:sz="0" w:space="0" w:color="auto"/>
            <w:right w:val="none" w:sz="0" w:space="0" w:color="auto"/>
          </w:divBdr>
        </w:div>
      </w:divsChild>
    </w:div>
    <w:div w:id="1472291066">
      <w:bodyDiv w:val="1"/>
      <w:marLeft w:val="0"/>
      <w:marRight w:val="0"/>
      <w:marTop w:val="0"/>
      <w:marBottom w:val="0"/>
      <w:divBdr>
        <w:top w:val="none" w:sz="0" w:space="0" w:color="auto"/>
        <w:left w:val="none" w:sz="0" w:space="0" w:color="auto"/>
        <w:bottom w:val="none" w:sz="0" w:space="0" w:color="auto"/>
        <w:right w:val="none" w:sz="0" w:space="0" w:color="auto"/>
      </w:divBdr>
      <w:divsChild>
        <w:div w:id="534973585">
          <w:marLeft w:val="994"/>
          <w:marRight w:val="0"/>
          <w:marTop w:val="67"/>
          <w:marBottom w:val="60"/>
          <w:divBdr>
            <w:top w:val="none" w:sz="0" w:space="0" w:color="auto"/>
            <w:left w:val="none" w:sz="0" w:space="0" w:color="auto"/>
            <w:bottom w:val="none" w:sz="0" w:space="0" w:color="auto"/>
            <w:right w:val="none" w:sz="0" w:space="0" w:color="auto"/>
          </w:divBdr>
        </w:div>
        <w:div w:id="856961220">
          <w:marLeft w:val="1714"/>
          <w:marRight w:val="0"/>
          <w:marTop w:val="67"/>
          <w:marBottom w:val="60"/>
          <w:divBdr>
            <w:top w:val="none" w:sz="0" w:space="0" w:color="auto"/>
            <w:left w:val="none" w:sz="0" w:space="0" w:color="auto"/>
            <w:bottom w:val="none" w:sz="0" w:space="0" w:color="auto"/>
            <w:right w:val="none" w:sz="0" w:space="0" w:color="auto"/>
          </w:divBdr>
        </w:div>
        <w:div w:id="1036273705">
          <w:marLeft w:val="1714"/>
          <w:marRight w:val="0"/>
          <w:marTop w:val="67"/>
          <w:marBottom w:val="60"/>
          <w:divBdr>
            <w:top w:val="none" w:sz="0" w:space="0" w:color="auto"/>
            <w:left w:val="none" w:sz="0" w:space="0" w:color="auto"/>
            <w:bottom w:val="none" w:sz="0" w:space="0" w:color="auto"/>
            <w:right w:val="none" w:sz="0" w:space="0" w:color="auto"/>
          </w:divBdr>
        </w:div>
        <w:div w:id="1659772619">
          <w:marLeft w:val="1714"/>
          <w:marRight w:val="0"/>
          <w:marTop w:val="67"/>
          <w:marBottom w:val="60"/>
          <w:divBdr>
            <w:top w:val="none" w:sz="0" w:space="0" w:color="auto"/>
            <w:left w:val="none" w:sz="0" w:space="0" w:color="auto"/>
            <w:bottom w:val="none" w:sz="0" w:space="0" w:color="auto"/>
            <w:right w:val="none" w:sz="0" w:space="0" w:color="auto"/>
          </w:divBdr>
        </w:div>
      </w:divsChild>
    </w:div>
    <w:div w:id="1799906517">
      <w:bodyDiv w:val="1"/>
      <w:marLeft w:val="0"/>
      <w:marRight w:val="0"/>
      <w:marTop w:val="0"/>
      <w:marBottom w:val="0"/>
      <w:divBdr>
        <w:top w:val="none" w:sz="0" w:space="0" w:color="auto"/>
        <w:left w:val="none" w:sz="0" w:space="0" w:color="auto"/>
        <w:bottom w:val="none" w:sz="0" w:space="0" w:color="auto"/>
        <w:right w:val="none" w:sz="0" w:space="0" w:color="auto"/>
      </w:divBdr>
    </w:div>
    <w:div w:id="2055693871">
      <w:bodyDiv w:val="1"/>
      <w:marLeft w:val="0"/>
      <w:marRight w:val="0"/>
      <w:marTop w:val="0"/>
      <w:marBottom w:val="0"/>
      <w:divBdr>
        <w:top w:val="none" w:sz="0" w:space="0" w:color="auto"/>
        <w:left w:val="none" w:sz="0" w:space="0" w:color="auto"/>
        <w:bottom w:val="none" w:sz="0" w:space="0" w:color="auto"/>
        <w:right w:val="none" w:sz="0" w:space="0" w:color="auto"/>
      </w:divBdr>
      <w:divsChild>
        <w:div w:id="906844542">
          <w:marLeft w:val="1714"/>
          <w:marRight w:val="0"/>
          <w:marTop w:val="67"/>
          <w:marBottom w:val="60"/>
          <w:divBdr>
            <w:top w:val="none" w:sz="0" w:space="0" w:color="auto"/>
            <w:left w:val="none" w:sz="0" w:space="0" w:color="auto"/>
            <w:bottom w:val="none" w:sz="0" w:space="0" w:color="auto"/>
            <w:right w:val="none" w:sz="0" w:space="0" w:color="auto"/>
          </w:divBdr>
        </w:div>
        <w:div w:id="942610660">
          <w:marLeft w:val="1714"/>
          <w:marRight w:val="0"/>
          <w:marTop w:val="67"/>
          <w:marBottom w:val="60"/>
          <w:divBdr>
            <w:top w:val="none" w:sz="0" w:space="0" w:color="auto"/>
            <w:left w:val="none" w:sz="0" w:space="0" w:color="auto"/>
            <w:bottom w:val="none" w:sz="0" w:space="0" w:color="auto"/>
            <w:right w:val="none" w:sz="0" w:space="0" w:color="auto"/>
          </w:divBdr>
        </w:div>
        <w:div w:id="966357378">
          <w:marLeft w:val="1714"/>
          <w:marRight w:val="0"/>
          <w:marTop w:val="67"/>
          <w:marBottom w:val="60"/>
          <w:divBdr>
            <w:top w:val="none" w:sz="0" w:space="0" w:color="auto"/>
            <w:left w:val="none" w:sz="0" w:space="0" w:color="auto"/>
            <w:bottom w:val="none" w:sz="0" w:space="0" w:color="auto"/>
            <w:right w:val="none" w:sz="0" w:space="0" w:color="auto"/>
          </w:divBdr>
        </w:div>
        <w:div w:id="1341161118">
          <w:marLeft w:val="994"/>
          <w:marRight w:val="0"/>
          <w:marTop w:val="67"/>
          <w:marBottom w:val="60"/>
          <w:divBdr>
            <w:top w:val="none" w:sz="0" w:space="0" w:color="auto"/>
            <w:left w:val="none" w:sz="0" w:space="0" w:color="auto"/>
            <w:bottom w:val="none" w:sz="0" w:space="0" w:color="auto"/>
            <w:right w:val="none" w:sz="0" w:space="0" w:color="auto"/>
          </w:divBdr>
        </w:div>
      </w:divsChild>
    </w:div>
    <w:div w:id="2098205706">
      <w:bodyDiv w:val="1"/>
      <w:marLeft w:val="0"/>
      <w:marRight w:val="0"/>
      <w:marTop w:val="0"/>
      <w:marBottom w:val="0"/>
      <w:divBdr>
        <w:top w:val="none" w:sz="0" w:space="0" w:color="auto"/>
        <w:left w:val="none" w:sz="0" w:space="0" w:color="auto"/>
        <w:bottom w:val="none" w:sz="0" w:space="0" w:color="auto"/>
        <w:right w:val="none" w:sz="0" w:space="0" w:color="auto"/>
      </w:divBdr>
      <w:divsChild>
        <w:div w:id="1587378177">
          <w:marLeft w:val="994"/>
          <w:marRight w:val="0"/>
          <w:marTop w:val="67"/>
          <w:marBottom w:val="60"/>
          <w:divBdr>
            <w:top w:val="none" w:sz="0" w:space="0" w:color="auto"/>
            <w:left w:val="none" w:sz="0" w:space="0" w:color="auto"/>
            <w:bottom w:val="none" w:sz="0" w:space="0" w:color="auto"/>
            <w:right w:val="none" w:sz="0" w:space="0" w:color="auto"/>
          </w:divBdr>
        </w:div>
        <w:div w:id="2033535643">
          <w:marLeft w:val="994"/>
          <w:marRight w:val="0"/>
          <w:marTop w:val="67"/>
          <w:marBottom w:val="60"/>
          <w:divBdr>
            <w:top w:val="none" w:sz="0" w:space="0" w:color="auto"/>
            <w:left w:val="none" w:sz="0" w:space="0" w:color="auto"/>
            <w:bottom w:val="none" w:sz="0" w:space="0" w:color="auto"/>
            <w:right w:val="none" w:sz="0" w:space="0" w:color="auto"/>
          </w:divBdr>
        </w:div>
      </w:divsChild>
    </w:div>
    <w:div w:id="2100830201">
      <w:bodyDiv w:val="1"/>
      <w:marLeft w:val="0"/>
      <w:marRight w:val="0"/>
      <w:marTop w:val="0"/>
      <w:marBottom w:val="0"/>
      <w:divBdr>
        <w:top w:val="none" w:sz="0" w:space="0" w:color="auto"/>
        <w:left w:val="none" w:sz="0" w:space="0" w:color="auto"/>
        <w:bottom w:val="none" w:sz="0" w:space="0" w:color="auto"/>
        <w:right w:val="none" w:sz="0" w:space="0" w:color="auto"/>
      </w:divBdr>
      <w:divsChild>
        <w:div w:id="115830088">
          <w:marLeft w:val="360"/>
          <w:marRight w:val="0"/>
          <w:marTop w:val="86"/>
          <w:marBottom w:val="60"/>
          <w:divBdr>
            <w:top w:val="none" w:sz="0" w:space="0" w:color="auto"/>
            <w:left w:val="none" w:sz="0" w:space="0" w:color="auto"/>
            <w:bottom w:val="none" w:sz="0" w:space="0" w:color="auto"/>
            <w:right w:val="none" w:sz="0" w:space="0" w:color="auto"/>
          </w:divBdr>
        </w:div>
        <w:div w:id="2116124314">
          <w:marLeft w:val="360"/>
          <w:marRight w:val="0"/>
          <w:marTop w:val="86"/>
          <w:marBottom w:val="60"/>
          <w:divBdr>
            <w:top w:val="none" w:sz="0" w:space="0" w:color="auto"/>
            <w:left w:val="none" w:sz="0" w:space="0" w:color="auto"/>
            <w:bottom w:val="none" w:sz="0" w:space="0" w:color="auto"/>
            <w:right w:val="none" w:sz="0" w:space="0" w:color="auto"/>
          </w:divBdr>
        </w:div>
      </w:divsChild>
    </w:div>
    <w:div w:id="2124105572">
      <w:bodyDiv w:val="1"/>
      <w:marLeft w:val="0"/>
      <w:marRight w:val="0"/>
      <w:marTop w:val="0"/>
      <w:marBottom w:val="0"/>
      <w:divBdr>
        <w:top w:val="none" w:sz="0" w:space="0" w:color="auto"/>
        <w:left w:val="none" w:sz="0" w:space="0" w:color="auto"/>
        <w:bottom w:val="none" w:sz="0" w:space="0" w:color="auto"/>
        <w:right w:val="none" w:sz="0" w:space="0" w:color="auto"/>
      </w:divBdr>
      <w:divsChild>
        <w:div w:id="272175378">
          <w:marLeft w:val="1627"/>
          <w:marRight w:val="0"/>
          <w:marTop w:val="86"/>
          <w:marBottom w:val="60"/>
          <w:divBdr>
            <w:top w:val="none" w:sz="0" w:space="0" w:color="auto"/>
            <w:left w:val="none" w:sz="0" w:space="0" w:color="auto"/>
            <w:bottom w:val="none" w:sz="0" w:space="0" w:color="auto"/>
            <w:right w:val="none" w:sz="0" w:space="0" w:color="auto"/>
          </w:divBdr>
        </w:div>
        <w:div w:id="1102609975">
          <w:marLeft w:val="1627"/>
          <w:marRight w:val="0"/>
          <w:marTop w:val="86"/>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E545-B7BE-4DB0-818B-A2765CD8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1327</Words>
  <Characters>7564</Characters>
  <Application>Microsoft Office Word</Application>
  <DocSecurity>0</DocSecurity>
  <Lines>63</Lines>
  <Paragraphs>17</Paragraphs>
  <ScaleCrop>false</ScaleCrop>
  <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cp:lastModifiedBy>
  <cp:revision>5</cp:revision>
  <dcterms:created xsi:type="dcterms:W3CDTF">2025-05-09T07:04:00Z</dcterms:created>
  <dcterms:modified xsi:type="dcterms:W3CDTF">2025-08-15T05:31:00Z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